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auto"/>
        <w:ind w:firstLine="1044"/>
        <w:jc w:val="center"/>
        <w:rPr>
          <w:b/>
          <w:bCs/>
          <w:sz w:val="52"/>
          <w:szCs w:val="52"/>
        </w:rPr>
      </w:pPr>
    </w:p>
    <w:p>
      <w:pPr>
        <w:spacing w:line="840" w:lineRule="auto"/>
        <w:ind w:firstLine="0" w:firstLineChars="0"/>
        <w:jc w:val="center"/>
        <w:rPr>
          <w:b/>
          <w:bCs/>
          <w:sz w:val="52"/>
          <w:szCs w:val="52"/>
        </w:rPr>
      </w:pPr>
      <w:r>
        <w:rPr>
          <w:rFonts w:hint="eastAsia"/>
          <w:b/>
          <w:bCs/>
          <w:sz w:val="52"/>
          <w:szCs w:val="52"/>
        </w:rPr>
        <w:t>靖宇县生态</w:t>
      </w:r>
      <w:r>
        <w:rPr>
          <w:b/>
          <w:bCs/>
          <w:sz w:val="52"/>
          <w:szCs w:val="52"/>
        </w:rPr>
        <w:t>环境保护</w:t>
      </w:r>
    </w:p>
    <w:p>
      <w:pPr>
        <w:spacing w:line="840" w:lineRule="auto"/>
        <w:ind w:firstLine="0" w:firstLineChars="0"/>
        <w:jc w:val="center"/>
        <w:rPr>
          <w:b/>
          <w:bCs/>
          <w:sz w:val="52"/>
          <w:szCs w:val="52"/>
        </w:rPr>
      </w:pPr>
      <w:r>
        <w:rPr>
          <w:b/>
          <w:bCs/>
          <w:sz w:val="52"/>
          <w:szCs w:val="52"/>
        </w:rPr>
        <w:t>“十</w:t>
      </w:r>
      <w:r>
        <w:rPr>
          <w:rFonts w:hint="eastAsia"/>
          <w:b/>
          <w:bCs/>
          <w:sz w:val="52"/>
          <w:szCs w:val="52"/>
        </w:rPr>
        <w:t>四</w:t>
      </w:r>
      <w:r>
        <w:rPr>
          <w:b/>
          <w:bCs/>
          <w:sz w:val="52"/>
          <w:szCs w:val="52"/>
        </w:rPr>
        <w:t>五”规划</w:t>
      </w:r>
    </w:p>
    <w:p>
      <w:pPr>
        <w:ind w:firstLine="0" w:firstLineChars="0"/>
        <w:jc w:val="center"/>
        <w:rPr>
          <w:b/>
          <w:sz w:val="36"/>
        </w:rPr>
      </w:pPr>
    </w:p>
    <w:p>
      <w:pPr>
        <w:ind w:firstLine="0" w:firstLineChars="0"/>
        <w:jc w:val="center"/>
        <w:rPr>
          <w:b/>
          <w:sz w:val="36"/>
        </w:rPr>
      </w:pPr>
    </w:p>
    <w:p>
      <w:pPr>
        <w:ind w:firstLine="0" w:firstLineChars="0"/>
        <w:jc w:val="center"/>
        <w:rPr>
          <w:b/>
          <w:sz w:val="36"/>
        </w:rPr>
      </w:pPr>
    </w:p>
    <w:p>
      <w:pPr>
        <w:ind w:firstLine="0" w:firstLineChars="0"/>
        <w:jc w:val="center"/>
        <w:rPr>
          <w:b/>
          <w:sz w:val="36"/>
        </w:rPr>
      </w:pPr>
    </w:p>
    <w:p>
      <w:pPr>
        <w:ind w:firstLine="0" w:firstLineChars="0"/>
        <w:jc w:val="center"/>
        <w:rPr>
          <w:b/>
          <w:sz w:val="36"/>
        </w:rPr>
      </w:pPr>
    </w:p>
    <w:p>
      <w:pPr>
        <w:ind w:firstLine="0" w:firstLineChars="0"/>
        <w:jc w:val="center"/>
        <w:rPr>
          <w:b/>
          <w:sz w:val="36"/>
        </w:rPr>
      </w:pPr>
    </w:p>
    <w:p>
      <w:pPr>
        <w:ind w:firstLine="0" w:firstLineChars="0"/>
        <w:jc w:val="center"/>
        <w:rPr>
          <w:b/>
          <w:sz w:val="36"/>
        </w:rPr>
      </w:pPr>
    </w:p>
    <w:p>
      <w:pPr>
        <w:ind w:firstLine="0" w:firstLineChars="0"/>
        <w:jc w:val="center"/>
        <w:rPr>
          <w:b/>
          <w:sz w:val="36"/>
        </w:rPr>
      </w:pPr>
    </w:p>
    <w:p>
      <w:pPr>
        <w:ind w:firstLine="0" w:firstLineChars="0"/>
        <w:jc w:val="center"/>
        <w:rPr>
          <w:b/>
          <w:sz w:val="36"/>
        </w:rPr>
      </w:pPr>
    </w:p>
    <w:p>
      <w:pPr>
        <w:ind w:firstLine="0" w:firstLineChars="0"/>
        <w:jc w:val="center"/>
        <w:rPr>
          <w:b/>
          <w:sz w:val="36"/>
        </w:rPr>
      </w:pPr>
    </w:p>
    <w:p>
      <w:pPr>
        <w:ind w:firstLine="0" w:firstLineChars="0"/>
        <w:jc w:val="center"/>
        <w:rPr>
          <w:b/>
        </w:rPr>
      </w:pPr>
      <w:r>
        <w:rPr>
          <w:rFonts w:hint="eastAsia"/>
          <w:b/>
        </w:rPr>
        <w:t>靖宇县</w:t>
      </w:r>
      <w:r>
        <w:rPr>
          <w:b/>
        </w:rPr>
        <w:t>人民政府</w:t>
      </w:r>
    </w:p>
    <w:p>
      <w:pPr>
        <w:ind w:firstLine="0" w:firstLineChars="0"/>
        <w:jc w:val="center"/>
        <w:rPr>
          <w:b/>
        </w:rPr>
      </w:pPr>
      <w:r>
        <w:rPr>
          <w:b/>
        </w:rPr>
        <w:t>二〇</w:t>
      </w:r>
      <w:r>
        <w:rPr>
          <w:rFonts w:hint="eastAsia"/>
          <w:b/>
        </w:rPr>
        <w:t>二三</w:t>
      </w:r>
      <w:r>
        <w:rPr>
          <w:b/>
        </w:rPr>
        <w:t>年</w:t>
      </w:r>
      <w:r>
        <w:rPr>
          <w:rFonts w:hint="eastAsia"/>
          <w:b/>
        </w:rPr>
        <w:t>三</w:t>
      </w:r>
      <w:r>
        <w:rPr>
          <w:b/>
        </w:rPr>
        <w:t>月</w:t>
      </w:r>
    </w:p>
    <w:p>
      <w:pPr>
        <w:ind w:firstLine="0" w:firstLineChars="0"/>
        <w:jc w:val="center"/>
        <w:rPr>
          <w:b/>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435" w:charSpace="0"/>
        </w:sectPr>
      </w:pPr>
    </w:p>
    <w:p>
      <w:pPr>
        <w:ind w:firstLine="0" w:firstLineChars="0"/>
        <w:jc w:val="center"/>
        <w:rPr>
          <w:b/>
        </w:rPr>
        <w:sectPr>
          <w:pgSz w:w="11906" w:h="16838"/>
          <w:pgMar w:top="1440" w:right="1800" w:bottom="1440" w:left="1800" w:header="851" w:footer="992" w:gutter="0"/>
          <w:cols w:space="425" w:num="1"/>
          <w:titlePg/>
          <w:docGrid w:type="lines" w:linePitch="435" w:charSpace="0"/>
        </w:sectPr>
      </w:pPr>
    </w:p>
    <w:sdt>
      <w:sdtPr>
        <w:rPr>
          <w:rFonts w:ascii="Times New Roman" w:hAnsi="Times New Roman" w:eastAsia="仿宋" w:cstheme="minorBidi"/>
          <w:b w:val="0"/>
          <w:bCs w:val="0"/>
          <w:color w:val="auto"/>
          <w:kern w:val="2"/>
          <w:sz w:val="32"/>
          <w:szCs w:val="22"/>
          <w:lang w:val="zh-CN"/>
        </w:rPr>
        <w:id w:val="94148547"/>
        <w:docPartObj>
          <w:docPartGallery w:val="Table of Contents"/>
          <w:docPartUnique/>
        </w:docPartObj>
      </w:sdtPr>
      <w:sdtEndPr>
        <w:rPr>
          <w:rFonts w:ascii="Times New Roman" w:hAnsi="Times New Roman" w:eastAsia="仿宋" w:cstheme="minorBidi"/>
          <w:b w:val="0"/>
          <w:bCs w:val="0"/>
          <w:color w:val="auto"/>
          <w:kern w:val="2"/>
          <w:sz w:val="32"/>
          <w:szCs w:val="22"/>
          <w:lang w:val="en-US"/>
        </w:rPr>
      </w:sdtEndPr>
      <w:sdtContent>
        <w:p>
          <w:pPr>
            <w:pStyle w:val="27"/>
            <w:ind w:firstLine="640"/>
            <w:jc w:val="center"/>
            <w:rPr>
              <w:rFonts w:ascii="仿宋" w:hAnsi="仿宋" w:eastAsia="仿宋"/>
              <w:color w:val="auto"/>
              <w:sz w:val="32"/>
            </w:rPr>
          </w:pPr>
          <w:r>
            <w:rPr>
              <w:rFonts w:ascii="仿宋" w:hAnsi="仿宋" w:eastAsia="仿宋"/>
              <w:color w:val="auto"/>
              <w:sz w:val="32"/>
              <w:lang w:val="zh-CN"/>
            </w:rPr>
            <w:t>目</w:t>
          </w:r>
          <w:r>
            <w:rPr>
              <w:rFonts w:hint="eastAsia" w:ascii="仿宋" w:hAnsi="仿宋" w:eastAsia="仿宋"/>
              <w:color w:val="auto"/>
              <w:sz w:val="32"/>
              <w:lang w:val="zh-CN"/>
            </w:rPr>
            <w:t xml:space="preserve"> </w:t>
          </w:r>
          <w:r>
            <w:rPr>
              <w:rFonts w:ascii="仿宋" w:hAnsi="仿宋" w:eastAsia="仿宋"/>
              <w:color w:val="auto"/>
              <w:sz w:val="32"/>
              <w:lang w:val="zh-CN"/>
            </w:rPr>
            <w:t>录</w:t>
          </w:r>
        </w:p>
        <w:p>
          <w:pPr>
            <w:pStyle w:val="11"/>
            <w:tabs>
              <w:tab w:val="right" w:leader="dot" w:pos="8296"/>
            </w:tabs>
            <w:snapToGrid w:val="0"/>
            <w:spacing w:line="300" w:lineRule="auto"/>
            <w:ind w:firstLine="560"/>
            <w:rPr>
              <w:rFonts w:ascii="仿宋" w:hAnsi="仿宋"/>
              <w:sz w:val="20"/>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"_Toc129926071" </w:instrText>
          </w:r>
          <w:r>
            <w:fldChar w:fldCharType="separate"/>
          </w:r>
          <w:r>
            <w:rPr>
              <w:rStyle w:val="17"/>
              <w:rFonts w:hint="eastAsia" w:ascii="仿宋" w:hAnsi="仿宋"/>
              <w:sz w:val="28"/>
            </w:rPr>
            <w:t>第一章</w:t>
          </w:r>
          <w:r>
            <w:rPr>
              <w:rStyle w:val="17"/>
              <w:rFonts w:ascii="仿宋" w:hAnsi="仿宋"/>
              <w:sz w:val="28"/>
            </w:rPr>
            <w:t xml:space="preserve"> </w:t>
          </w:r>
          <w:r>
            <w:rPr>
              <w:rStyle w:val="17"/>
              <w:rFonts w:hint="eastAsia" w:ascii="仿宋" w:hAnsi="仿宋"/>
              <w:sz w:val="28"/>
            </w:rPr>
            <w:t>规划背景</w:t>
          </w:r>
          <w:r>
            <w:rPr>
              <w:rFonts w:ascii="仿宋" w:hAnsi="仿宋"/>
              <w:sz w:val="28"/>
            </w:rPr>
            <w:tab/>
          </w:r>
          <w:r>
            <w:rPr>
              <w:rFonts w:ascii="仿宋" w:hAnsi="仿宋"/>
              <w:sz w:val="28"/>
            </w:rPr>
            <w:fldChar w:fldCharType="begin"/>
          </w:r>
          <w:r>
            <w:rPr>
              <w:rFonts w:ascii="仿宋" w:hAnsi="仿宋"/>
              <w:sz w:val="28"/>
            </w:rPr>
            <w:instrText xml:space="preserve"> PAGEREF _Toc129926071 \h </w:instrText>
          </w:r>
          <w:r>
            <w:rPr>
              <w:rFonts w:ascii="仿宋" w:hAnsi="仿宋"/>
              <w:sz w:val="28"/>
            </w:rPr>
            <w:fldChar w:fldCharType="separate"/>
          </w:r>
          <w:r>
            <w:rPr>
              <w:rFonts w:ascii="仿宋" w:hAnsi="仿宋"/>
              <w:sz w:val="28"/>
            </w:rPr>
            <w:t>2</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"_Toc129926072"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“十三五”生态环境保护主要成效</w:t>
          </w:r>
          <w:r>
            <w:rPr>
              <w:rFonts w:ascii="仿宋" w:hAnsi="仿宋"/>
              <w:sz w:val="28"/>
            </w:rPr>
            <w:tab/>
          </w:r>
          <w:r>
            <w:rPr>
              <w:rFonts w:ascii="仿宋" w:hAnsi="仿宋"/>
              <w:sz w:val="28"/>
            </w:rPr>
            <w:fldChar w:fldCharType="begin"/>
          </w:r>
          <w:r>
            <w:rPr>
              <w:rFonts w:ascii="仿宋" w:hAnsi="仿宋"/>
              <w:sz w:val="28"/>
            </w:rPr>
            <w:instrText xml:space="preserve"> PAGEREF _Toc129926072 \h </w:instrText>
          </w:r>
          <w:r>
            <w:rPr>
              <w:rFonts w:ascii="仿宋" w:hAnsi="仿宋"/>
              <w:sz w:val="28"/>
            </w:rPr>
            <w:fldChar w:fldCharType="separate"/>
          </w:r>
          <w:r>
            <w:rPr>
              <w:rFonts w:ascii="仿宋" w:hAnsi="仿宋"/>
              <w:sz w:val="28"/>
            </w:rPr>
            <w:t>2</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"_Toc129926073"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“十四五”生态环境保护面临的机遇</w:t>
          </w:r>
          <w:r>
            <w:rPr>
              <w:rFonts w:ascii="仿宋" w:hAnsi="仿宋"/>
              <w:sz w:val="28"/>
            </w:rPr>
            <w:tab/>
          </w:r>
          <w:r>
            <w:rPr>
              <w:rFonts w:ascii="仿宋" w:hAnsi="仿宋"/>
              <w:sz w:val="28"/>
            </w:rPr>
            <w:fldChar w:fldCharType="begin"/>
          </w:r>
          <w:r>
            <w:rPr>
              <w:rFonts w:ascii="仿宋" w:hAnsi="仿宋"/>
              <w:sz w:val="28"/>
            </w:rPr>
            <w:instrText xml:space="preserve"> PAGEREF _Toc129926073 \h </w:instrText>
          </w:r>
          <w:r>
            <w:rPr>
              <w:rFonts w:ascii="仿宋" w:hAnsi="仿宋"/>
              <w:sz w:val="28"/>
            </w:rPr>
            <w:fldChar w:fldCharType="separate"/>
          </w:r>
          <w:r>
            <w:rPr>
              <w:rFonts w:ascii="仿宋" w:hAnsi="仿宋"/>
              <w:sz w:val="28"/>
            </w:rPr>
            <w:t>7</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"_Toc129926074"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“十四五”生态环境保护面临的挑战</w:t>
          </w:r>
          <w:r>
            <w:rPr>
              <w:rFonts w:ascii="仿宋" w:hAnsi="仿宋"/>
              <w:sz w:val="28"/>
            </w:rPr>
            <w:tab/>
          </w:r>
          <w:r>
            <w:rPr>
              <w:rFonts w:ascii="仿宋" w:hAnsi="仿宋"/>
              <w:sz w:val="28"/>
            </w:rPr>
            <w:fldChar w:fldCharType="begin"/>
          </w:r>
          <w:r>
            <w:rPr>
              <w:rFonts w:ascii="仿宋" w:hAnsi="仿宋"/>
              <w:sz w:val="28"/>
            </w:rPr>
            <w:instrText xml:space="preserve"> PAGEREF _Toc129926074 \h </w:instrText>
          </w:r>
          <w:r>
            <w:rPr>
              <w:rFonts w:ascii="仿宋" w:hAnsi="仿宋"/>
              <w:sz w:val="28"/>
            </w:rPr>
            <w:fldChar w:fldCharType="separate"/>
          </w:r>
          <w:r>
            <w:rPr>
              <w:rFonts w:ascii="仿宋" w:hAnsi="仿宋"/>
              <w:sz w:val="28"/>
            </w:rPr>
            <w:t>8</w:t>
          </w:r>
          <w:r>
            <w:rPr>
              <w:rFonts w:ascii="仿宋" w:hAnsi="仿宋"/>
              <w:sz w:val="28"/>
            </w:rPr>
            <w:fldChar w:fldCharType="end"/>
          </w:r>
          <w:r>
            <w:rPr>
              <w:rFonts w:ascii="仿宋" w:hAnsi="仿宋"/>
              <w:sz w:val="28"/>
            </w:rPr>
            <w:fldChar w:fldCharType="end"/>
          </w:r>
        </w:p>
        <w:p>
          <w:pPr>
            <w:pStyle w:val="11"/>
            <w:tabs>
              <w:tab w:val="right" w:leader="dot" w:pos="8296"/>
            </w:tabs>
            <w:snapToGrid w:val="0"/>
            <w:spacing w:line="300" w:lineRule="auto"/>
            <w:ind w:firstLine="560"/>
            <w:rPr>
              <w:rFonts w:ascii="仿宋" w:hAnsi="仿宋"/>
              <w:sz w:val="20"/>
            </w:rPr>
          </w:pPr>
          <w:r>
            <w:fldChar w:fldCharType="begin"/>
          </w:r>
          <w:r>
            <w:instrText xml:space="preserve"> HYPERLINK \l "_Toc129926075" </w:instrText>
          </w:r>
          <w:r>
            <w:fldChar w:fldCharType="separate"/>
          </w:r>
          <w:r>
            <w:rPr>
              <w:rStyle w:val="17"/>
              <w:rFonts w:hint="eastAsia" w:ascii="仿宋" w:hAnsi="仿宋"/>
              <w:sz w:val="28"/>
            </w:rPr>
            <w:t>第二章</w:t>
          </w:r>
          <w:r>
            <w:rPr>
              <w:rStyle w:val="17"/>
              <w:rFonts w:ascii="仿宋" w:hAnsi="仿宋"/>
              <w:sz w:val="28"/>
            </w:rPr>
            <w:t xml:space="preserve">  </w:t>
          </w:r>
          <w:r>
            <w:rPr>
              <w:rStyle w:val="17"/>
              <w:rFonts w:hint="eastAsia" w:ascii="仿宋" w:hAnsi="仿宋"/>
              <w:sz w:val="28"/>
            </w:rPr>
            <w:t>指导思想、基本原则和主要目标</w:t>
          </w:r>
          <w:r>
            <w:rPr>
              <w:rFonts w:ascii="仿宋" w:hAnsi="仿宋"/>
              <w:sz w:val="28"/>
            </w:rPr>
            <w:tab/>
          </w:r>
          <w:r>
            <w:rPr>
              <w:rFonts w:ascii="仿宋" w:hAnsi="仿宋"/>
              <w:sz w:val="28"/>
            </w:rPr>
            <w:fldChar w:fldCharType="begin"/>
          </w:r>
          <w:r>
            <w:rPr>
              <w:rFonts w:ascii="仿宋" w:hAnsi="仿宋"/>
              <w:sz w:val="28"/>
            </w:rPr>
            <w:instrText xml:space="preserve"> PAGEREF _Toc129926075 \h </w:instrText>
          </w:r>
          <w:r>
            <w:rPr>
              <w:rFonts w:ascii="仿宋" w:hAnsi="仿宋"/>
              <w:sz w:val="28"/>
            </w:rPr>
            <w:fldChar w:fldCharType="separate"/>
          </w:r>
          <w:r>
            <w:rPr>
              <w:rFonts w:ascii="仿宋" w:hAnsi="仿宋"/>
              <w:sz w:val="28"/>
            </w:rPr>
            <w:t>11</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"_Toc129926076"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指导思想</w:t>
          </w:r>
          <w:r>
            <w:rPr>
              <w:rFonts w:ascii="仿宋" w:hAnsi="仿宋"/>
              <w:sz w:val="28"/>
            </w:rPr>
            <w:tab/>
          </w:r>
          <w:r>
            <w:rPr>
              <w:rFonts w:ascii="仿宋" w:hAnsi="仿宋"/>
              <w:sz w:val="28"/>
            </w:rPr>
            <w:fldChar w:fldCharType="begin"/>
          </w:r>
          <w:r>
            <w:rPr>
              <w:rFonts w:ascii="仿宋" w:hAnsi="仿宋"/>
              <w:sz w:val="28"/>
            </w:rPr>
            <w:instrText xml:space="preserve"> PAGEREF _Toc129926076 \h </w:instrText>
          </w:r>
          <w:r>
            <w:rPr>
              <w:rFonts w:ascii="仿宋" w:hAnsi="仿宋"/>
              <w:sz w:val="28"/>
            </w:rPr>
            <w:fldChar w:fldCharType="separate"/>
          </w:r>
          <w:r>
            <w:rPr>
              <w:rFonts w:ascii="仿宋" w:hAnsi="仿宋"/>
              <w:sz w:val="28"/>
            </w:rPr>
            <w:t>11</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"_Toc129926077"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基本原则</w:t>
          </w:r>
          <w:r>
            <w:rPr>
              <w:rFonts w:ascii="仿宋" w:hAnsi="仿宋"/>
              <w:sz w:val="28"/>
            </w:rPr>
            <w:tab/>
          </w:r>
          <w:r>
            <w:rPr>
              <w:rFonts w:ascii="仿宋" w:hAnsi="仿宋"/>
              <w:sz w:val="28"/>
            </w:rPr>
            <w:fldChar w:fldCharType="begin"/>
          </w:r>
          <w:r>
            <w:rPr>
              <w:rFonts w:ascii="仿宋" w:hAnsi="仿宋"/>
              <w:sz w:val="28"/>
            </w:rPr>
            <w:instrText xml:space="preserve"> PAGEREF _Toc129926077 \h </w:instrText>
          </w:r>
          <w:r>
            <w:rPr>
              <w:rFonts w:ascii="仿宋" w:hAnsi="仿宋"/>
              <w:sz w:val="28"/>
            </w:rPr>
            <w:fldChar w:fldCharType="separate"/>
          </w:r>
          <w:r>
            <w:rPr>
              <w:rFonts w:ascii="仿宋" w:hAnsi="仿宋"/>
              <w:sz w:val="28"/>
            </w:rPr>
            <w:t>12</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"_Toc129926078"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主要目标</w:t>
          </w:r>
          <w:r>
            <w:rPr>
              <w:rFonts w:ascii="仿宋" w:hAnsi="仿宋"/>
              <w:sz w:val="28"/>
            </w:rPr>
            <w:tab/>
          </w:r>
          <w:r>
            <w:rPr>
              <w:rFonts w:ascii="仿宋" w:hAnsi="仿宋"/>
              <w:sz w:val="28"/>
            </w:rPr>
            <w:fldChar w:fldCharType="begin"/>
          </w:r>
          <w:r>
            <w:rPr>
              <w:rFonts w:ascii="仿宋" w:hAnsi="仿宋"/>
              <w:sz w:val="28"/>
            </w:rPr>
            <w:instrText xml:space="preserve"> PAGEREF _Toc129926078 \h </w:instrText>
          </w:r>
          <w:r>
            <w:rPr>
              <w:rFonts w:ascii="仿宋" w:hAnsi="仿宋"/>
              <w:sz w:val="28"/>
            </w:rPr>
            <w:fldChar w:fldCharType="separate"/>
          </w:r>
          <w:r>
            <w:rPr>
              <w:rFonts w:ascii="仿宋" w:hAnsi="仿宋"/>
              <w:sz w:val="28"/>
            </w:rPr>
            <w:t>13</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"_Toc129926079" </w:instrText>
          </w:r>
          <w:r>
            <w:fldChar w:fldCharType="separate"/>
          </w:r>
          <w:r>
            <w:rPr>
              <w:rStyle w:val="17"/>
              <w:rFonts w:hint="eastAsia" w:ascii="仿宋" w:hAnsi="仿宋"/>
              <w:sz w:val="28"/>
            </w:rPr>
            <w:t>第四节</w:t>
          </w:r>
          <w:r>
            <w:rPr>
              <w:rStyle w:val="17"/>
              <w:rFonts w:ascii="仿宋" w:hAnsi="仿宋"/>
              <w:sz w:val="28"/>
            </w:rPr>
            <w:t xml:space="preserve"> </w:t>
          </w:r>
          <w:r>
            <w:rPr>
              <w:rStyle w:val="17"/>
              <w:rFonts w:hint="eastAsia" w:ascii="仿宋" w:hAnsi="仿宋"/>
              <w:sz w:val="28"/>
            </w:rPr>
            <w:t>愿景展望</w:t>
          </w:r>
          <w:r>
            <w:rPr>
              <w:rFonts w:ascii="仿宋" w:hAnsi="仿宋"/>
              <w:sz w:val="28"/>
            </w:rPr>
            <w:tab/>
          </w:r>
          <w:r>
            <w:rPr>
              <w:rFonts w:ascii="仿宋" w:hAnsi="仿宋"/>
              <w:sz w:val="28"/>
            </w:rPr>
            <w:fldChar w:fldCharType="begin"/>
          </w:r>
          <w:r>
            <w:rPr>
              <w:rFonts w:ascii="仿宋" w:hAnsi="仿宋"/>
              <w:sz w:val="28"/>
            </w:rPr>
            <w:instrText xml:space="preserve"> PAGEREF _Toc129926079 \h </w:instrText>
          </w:r>
          <w:r>
            <w:rPr>
              <w:rFonts w:ascii="仿宋" w:hAnsi="仿宋"/>
              <w:sz w:val="28"/>
            </w:rPr>
            <w:fldChar w:fldCharType="separate"/>
          </w:r>
          <w:r>
            <w:rPr>
              <w:rFonts w:ascii="仿宋" w:hAnsi="仿宋"/>
              <w:sz w:val="28"/>
            </w:rPr>
            <w:t>14</w:t>
          </w:r>
          <w:r>
            <w:rPr>
              <w:rFonts w:ascii="仿宋" w:hAnsi="仿宋"/>
              <w:sz w:val="28"/>
            </w:rPr>
            <w:fldChar w:fldCharType="end"/>
          </w:r>
          <w:r>
            <w:rPr>
              <w:rFonts w:ascii="仿宋" w:hAnsi="仿宋"/>
              <w:sz w:val="28"/>
            </w:rPr>
            <w:fldChar w:fldCharType="end"/>
          </w:r>
        </w:p>
        <w:p>
          <w:pPr>
            <w:pStyle w:val="11"/>
            <w:tabs>
              <w:tab w:val="right" w:leader="dot" w:pos="8296"/>
            </w:tabs>
            <w:snapToGrid w:val="0"/>
            <w:spacing w:line="300" w:lineRule="auto"/>
            <w:ind w:firstLine="560"/>
            <w:rPr>
              <w:rFonts w:ascii="仿宋" w:hAnsi="仿宋"/>
              <w:sz w:val="20"/>
            </w:rPr>
          </w:pPr>
          <w:r>
            <w:fldChar w:fldCharType="begin"/>
          </w:r>
          <w:r>
            <w:instrText xml:space="preserve"> HYPERLINK \l "_Toc129926080" </w:instrText>
          </w:r>
          <w:r>
            <w:fldChar w:fldCharType="separate"/>
          </w:r>
          <w:r>
            <w:rPr>
              <w:rStyle w:val="17"/>
              <w:rFonts w:hint="eastAsia" w:ascii="仿宋" w:hAnsi="仿宋"/>
              <w:sz w:val="28"/>
            </w:rPr>
            <w:t>第三章</w:t>
          </w:r>
          <w:r>
            <w:rPr>
              <w:rStyle w:val="17"/>
              <w:rFonts w:ascii="仿宋" w:hAnsi="仿宋"/>
              <w:sz w:val="28"/>
            </w:rPr>
            <w:t xml:space="preserve"> </w:t>
          </w:r>
          <w:r>
            <w:rPr>
              <w:rStyle w:val="17"/>
              <w:rFonts w:hint="eastAsia" w:ascii="仿宋" w:hAnsi="仿宋"/>
              <w:sz w:val="28"/>
            </w:rPr>
            <w:t>强化源头管控</w:t>
          </w:r>
          <w:r>
            <w:rPr>
              <w:rStyle w:val="17"/>
              <w:rFonts w:ascii="仿宋" w:hAnsi="仿宋"/>
              <w:sz w:val="28"/>
            </w:rPr>
            <w:t xml:space="preserve"> </w:t>
          </w:r>
          <w:r>
            <w:rPr>
              <w:rStyle w:val="17"/>
              <w:rFonts w:hint="eastAsia" w:ascii="仿宋" w:hAnsi="仿宋"/>
              <w:sz w:val="28"/>
            </w:rPr>
            <w:t>推进绿色低碳发展</w:t>
          </w:r>
          <w:r>
            <w:rPr>
              <w:rFonts w:ascii="仿宋" w:hAnsi="仿宋"/>
              <w:sz w:val="28"/>
            </w:rPr>
            <w:tab/>
          </w:r>
          <w:r>
            <w:rPr>
              <w:rFonts w:ascii="仿宋" w:hAnsi="仿宋"/>
              <w:sz w:val="28"/>
            </w:rPr>
            <w:fldChar w:fldCharType="begin"/>
          </w:r>
          <w:r>
            <w:rPr>
              <w:rFonts w:ascii="仿宋" w:hAnsi="仿宋"/>
              <w:sz w:val="28"/>
            </w:rPr>
            <w:instrText xml:space="preserve"> PAGEREF _Toc129926080 \h </w:instrText>
          </w:r>
          <w:r>
            <w:rPr>
              <w:rFonts w:ascii="仿宋" w:hAnsi="仿宋"/>
              <w:sz w:val="28"/>
            </w:rPr>
            <w:fldChar w:fldCharType="separate"/>
          </w:r>
          <w:r>
            <w:rPr>
              <w:rFonts w:ascii="仿宋" w:hAnsi="仿宋"/>
              <w:sz w:val="28"/>
            </w:rPr>
            <w:t>16</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"_Toc129926081"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优化国土空间格局</w:t>
          </w:r>
          <w:r>
            <w:rPr>
              <w:rFonts w:ascii="仿宋" w:hAnsi="仿宋"/>
              <w:sz w:val="28"/>
            </w:rPr>
            <w:tab/>
          </w:r>
          <w:r>
            <w:rPr>
              <w:rFonts w:ascii="仿宋" w:hAnsi="仿宋"/>
              <w:sz w:val="28"/>
            </w:rPr>
            <w:fldChar w:fldCharType="begin"/>
          </w:r>
          <w:r>
            <w:rPr>
              <w:rFonts w:ascii="仿宋" w:hAnsi="仿宋"/>
              <w:sz w:val="28"/>
            </w:rPr>
            <w:instrText xml:space="preserve"> PAGEREF _Toc129926081 \h </w:instrText>
          </w:r>
          <w:r>
            <w:rPr>
              <w:rFonts w:ascii="仿宋" w:hAnsi="仿宋"/>
              <w:sz w:val="28"/>
            </w:rPr>
            <w:fldChar w:fldCharType="separate"/>
          </w:r>
          <w:r>
            <w:rPr>
              <w:rFonts w:ascii="仿宋" w:hAnsi="仿宋"/>
              <w:sz w:val="28"/>
            </w:rPr>
            <w:t>16</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"_Toc129926082"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加快经济绿色转型</w:t>
          </w:r>
          <w:r>
            <w:rPr>
              <w:rFonts w:ascii="仿宋" w:hAnsi="仿宋"/>
              <w:sz w:val="28"/>
            </w:rPr>
            <w:tab/>
          </w:r>
          <w:r>
            <w:rPr>
              <w:rFonts w:ascii="仿宋" w:hAnsi="仿宋"/>
              <w:sz w:val="28"/>
            </w:rPr>
            <w:fldChar w:fldCharType="begin"/>
          </w:r>
          <w:r>
            <w:rPr>
              <w:rFonts w:ascii="仿宋" w:hAnsi="仿宋"/>
              <w:sz w:val="28"/>
            </w:rPr>
            <w:instrText xml:space="preserve"> PAGEREF _Toc129926082 \h </w:instrText>
          </w:r>
          <w:r>
            <w:rPr>
              <w:rFonts w:ascii="仿宋" w:hAnsi="仿宋"/>
              <w:sz w:val="28"/>
            </w:rPr>
            <w:fldChar w:fldCharType="separate"/>
          </w:r>
          <w:r>
            <w:rPr>
              <w:rFonts w:ascii="仿宋" w:hAnsi="仿宋"/>
              <w:sz w:val="28"/>
            </w:rPr>
            <w:t>17</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"_Toc129926083"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推动能源结构调整</w:t>
          </w:r>
          <w:r>
            <w:rPr>
              <w:rFonts w:ascii="仿宋" w:hAnsi="仿宋"/>
              <w:sz w:val="28"/>
            </w:rPr>
            <w:tab/>
          </w:r>
          <w:r>
            <w:rPr>
              <w:rFonts w:ascii="仿宋" w:hAnsi="仿宋"/>
              <w:sz w:val="28"/>
            </w:rPr>
            <w:fldChar w:fldCharType="begin"/>
          </w:r>
          <w:r>
            <w:rPr>
              <w:rFonts w:ascii="仿宋" w:hAnsi="仿宋"/>
              <w:sz w:val="28"/>
            </w:rPr>
            <w:instrText xml:space="preserve"> PAGEREF _Toc129926083 \h </w:instrText>
          </w:r>
          <w:r>
            <w:rPr>
              <w:rFonts w:ascii="仿宋" w:hAnsi="仿宋"/>
              <w:sz w:val="28"/>
            </w:rPr>
            <w:fldChar w:fldCharType="separate"/>
          </w:r>
          <w:r>
            <w:rPr>
              <w:rFonts w:ascii="仿宋" w:hAnsi="仿宋"/>
              <w:sz w:val="28"/>
            </w:rPr>
            <w:t>18</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"_Toc129926084" </w:instrText>
          </w:r>
          <w:r>
            <w:fldChar w:fldCharType="separate"/>
          </w:r>
          <w:r>
            <w:rPr>
              <w:rStyle w:val="17"/>
              <w:rFonts w:hint="eastAsia" w:ascii="仿宋" w:hAnsi="仿宋"/>
              <w:sz w:val="28"/>
            </w:rPr>
            <w:t>第四节</w:t>
          </w:r>
          <w:r>
            <w:rPr>
              <w:rStyle w:val="17"/>
              <w:rFonts w:ascii="仿宋" w:hAnsi="仿宋"/>
              <w:sz w:val="28"/>
            </w:rPr>
            <w:t xml:space="preserve"> </w:t>
          </w:r>
          <w:r>
            <w:rPr>
              <w:rStyle w:val="17"/>
              <w:rFonts w:hint="eastAsia" w:ascii="仿宋" w:hAnsi="仿宋"/>
              <w:sz w:val="28"/>
            </w:rPr>
            <w:t>积极应对气候变化</w:t>
          </w:r>
          <w:r>
            <w:rPr>
              <w:rFonts w:ascii="仿宋" w:hAnsi="仿宋"/>
              <w:sz w:val="28"/>
            </w:rPr>
            <w:tab/>
          </w:r>
          <w:r>
            <w:rPr>
              <w:rFonts w:ascii="仿宋" w:hAnsi="仿宋"/>
              <w:sz w:val="28"/>
            </w:rPr>
            <w:fldChar w:fldCharType="begin"/>
          </w:r>
          <w:r>
            <w:rPr>
              <w:rFonts w:ascii="仿宋" w:hAnsi="仿宋"/>
              <w:sz w:val="28"/>
            </w:rPr>
            <w:instrText xml:space="preserve"> PAGEREF _Toc129926084 \h </w:instrText>
          </w:r>
          <w:r>
            <w:rPr>
              <w:rFonts w:ascii="仿宋" w:hAnsi="仿宋"/>
              <w:sz w:val="28"/>
            </w:rPr>
            <w:fldChar w:fldCharType="separate"/>
          </w:r>
          <w:r>
            <w:rPr>
              <w:rFonts w:ascii="仿宋" w:hAnsi="仿宋"/>
              <w:sz w:val="28"/>
            </w:rPr>
            <w:t>19</w:t>
          </w:r>
          <w:r>
            <w:rPr>
              <w:rFonts w:ascii="仿宋" w:hAnsi="仿宋"/>
              <w:sz w:val="28"/>
            </w:rPr>
            <w:fldChar w:fldCharType="end"/>
          </w:r>
          <w:r>
            <w:rPr>
              <w:rFonts w:ascii="仿宋" w:hAnsi="仿宋"/>
              <w:sz w:val="28"/>
            </w:rPr>
            <w:fldChar w:fldCharType="end"/>
          </w:r>
        </w:p>
        <w:p>
          <w:pPr>
            <w:pStyle w:val="11"/>
            <w:tabs>
              <w:tab w:val="right" w:leader="dot" w:pos="8296"/>
            </w:tabs>
            <w:snapToGrid w:val="0"/>
            <w:spacing w:line="300" w:lineRule="auto"/>
            <w:ind w:firstLine="560"/>
            <w:rPr>
              <w:rFonts w:ascii="仿宋" w:hAnsi="仿宋"/>
              <w:sz w:val="20"/>
            </w:rPr>
          </w:pPr>
          <w:r>
            <w:fldChar w:fldCharType="begin"/>
          </w:r>
          <w:r>
            <w:instrText xml:space="preserve"> HYPERLINK \l "_Toc129926085" </w:instrText>
          </w:r>
          <w:r>
            <w:fldChar w:fldCharType="separate"/>
          </w:r>
          <w:r>
            <w:rPr>
              <w:rStyle w:val="17"/>
              <w:rFonts w:hint="eastAsia" w:ascii="仿宋" w:hAnsi="仿宋"/>
              <w:sz w:val="28"/>
            </w:rPr>
            <w:t>第四章</w:t>
          </w:r>
          <w:r>
            <w:rPr>
              <w:rStyle w:val="17"/>
              <w:rFonts w:ascii="仿宋" w:hAnsi="仿宋"/>
              <w:sz w:val="28"/>
            </w:rPr>
            <w:t xml:space="preserve"> </w:t>
          </w:r>
          <w:r>
            <w:rPr>
              <w:rStyle w:val="17"/>
              <w:rFonts w:hint="eastAsia" w:ascii="仿宋" w:hAnsi="仿宋"/>
              <w:sz w:val="28"/>
            </w:rPr>
            <w:t>坚持协同治理</w:t>
          </w:r>
          <w:r>
            <w:rPr>
              <w:rStyle w:val="17"/>
              <w:rFonts w:ascii="仿宋" w:hAnsi="仿宋"/>
              <w:sz w:val="28"/>
            </w:rPr>
            <w:t xml:space="preserve"> </w:t>
          </w:r>
          <w:r>
            <w:rPr>
              <w:rStyle w:val="17"/>
              <w:rFonts w:hint="eastAsia" w:ascii="仿宋" w:hAnsi="仿宋"/>
              <w:sz w:val="28"/>
            </w:rPr>
            <w:t>提升大气环境质量</w:t>
          </w:r>
          <w:r>
            <w:rPr>
              <w:rFonts w:ascii="仿宋" w:hAnsi="仿宋"/>
              <w:sz w:val="28"/>
            </w:rPr>
            <w:tab/>
          </w:r>
          <w:r>
            <w:rPr>
              <w:rFonts w:ascii="仿宋" w:hAnsi="仿宋"/>
              <w:sz w:val="28"/>
            </w:rPr>
            <w:fldChar w:fldCharType="begin"/>
          </w:r>
          <w:r>
            <w:rPr>
              <w:rFonts w:ascii="仿宋" w:hAnsi="仿宋"/>
              <w:sz w:val="28"/>
            </w:rPr>
            <w:instrText xml:space="preserve"> PAGEREF _Toc129926085 \h </w:instrText>
          </w:r>
          <w:r>
            <w:rPr>
              <w:rFonts w:ascii="仿宋" w:hAnsi="仿宋"/>
              <w:sz w:val="28"/>
            </w:rPr>
            <w:fldChar w:fldCharType="separate"/>
          </w:r>
          <w:r>
            <w:rPr>
              <w:rFonts w:ascii="仿宋" w:hAnsi="仿宋"/>
              <w:sz w:val="28"/>
            </w:rPr>
            <w:t>22</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"_Toc129926086"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加强污染物协同控制</w:t>
          </w:r>
          <w:r>
            <w:rPr>
              <w:rFonts w:ascii="仿宋" w:hAnsi="仿宋"/>
              <w:sz w:val="28"/>
            </w:rPr>
            <w:tab/>
          </w:r>
          <w:r>
            <w:rPr>
              <w:rFonts w:ascii="仿宋" w:hAnsi="仿宋"/>
              <w:sz w:val="28"/>
            </w:rPr>
            <w:fldChar w:fldCharType="begin"/>
          </w:r>
          <w:r>
            <w:rPr>
              <w:rFonts w:ascii="仿宋" w:hAnsi="仿宋"/>
              <w:sz w:val="28"/>
            </w:rPr>
            <w:instrText xml:space="preserve"> PAGEREF _Toc129926086 \h </w:instrText>
          </w:r>
          <w:r>
            <w:rPr>
              <w:rFonts w:ascii="仿宋" w:hAnsi="仿宋"/>
              <w:sz w:val="28"/>
            </w:rPr>
            <w:fldChar w:fldCharType="separate"/>
          </w:r>
          <w:r>
            <w:rPr>
              <w:rFonts w:ascii="仿宋" w:hAnsi="仿宋"/>
              <w:sz w:val="28"/>
            </w:rPr>
            <w:t>22</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"_Toc129926087"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严控重点污染物排放</w:t>
          </w:r>
          <w:r>
            <w:rPr>
              <w:rFonts w:ascii="仿宋" w:hAnsi="仿宋"/>
              <w:sz w:val="28"/>
            </w:rPr>
            <w:tab/>
          </w:r>
          <w:r>
            <w:rPr>
              <w:rFonts w:ascii="仿宋" w:hAnsi="仿宋"/>
              <w:sz w:val="28"/>
            </w:rPr>
            <w:fldChar w:fldCharType="begin"/>
          </w:r>
          <w:r>
            <w:rPr>
              <w:rFonts w:ascii="仿宋" w:hAnsi="仿宋"/>
              <w:sz w:val="28"/>
            </w:rPr>
            <w:instrText xml:space="preserve"> PAGEREF _Toc129926087 \h </w:instrText>
          </w:r>
          <w:r>
            <w:rPr>
              <w:rFonts w:ascii="仿宋" w:hAnsi="仿宋"/>
              <w:sz w:val="28"/>
            </w:rPr>
            <w:fldChar w:fldCharType="separate"/>
          </w:r>
          <w:r>
            <w:rPr>
              <w:rFonts w:ascii="仿宋" w:hAnsi="仿宋"/>
              <w:sz w:val="28"/>
            </w:rPr>
            <w:t>23</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"_Toc129926088"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分类管控重点污染源</w:t>
          </w:r>
          <w:r>
            <w:rPr>
              <w:rFonts w:ascii="仿宋" w:hAnsi="仿宋"/>
              <w:sz w:val="28"/>
            </w:rPr>
            <w:tab/>
          </w:r>
          <w:r>
            <w:rPr>
              <w:rFonts w:ascii="仿宋" w:hAnsi="仿宋"/>
              <w:sz w:val="28"/>
            </w:rPr>
            <w:fldChar w:fldCharType="begin"/>
          </w:r>
          <w:r>
            <w:rPr>
              <w:rFonts w:ascii="仿宋" w:hAnsi="仿宋"/>
              <w:sz w:val="28"/>
            </w:rPr>
            <w:instrText xml:space="preserve"> PAGEREF _Toc129926088 \h </w:instrText>
          </w:r>
          <w:r>
            <w:rPr>
              <w:rFonts w:ascii="仿宋" w:hAnsi="仿宋"/>
              <w:sz w:val="28"/>
            </w:rPr>
            <w:fldChar w:fldCharType="separate"/>
          </w:r>
          <w:r>
            <w:rPr>
              <w:rFonts w:ascii="仿宋" w:hAnsi="仿宋"/>
              <w:sz w:val="28"/>
            </w:rPr>
            <w:t>23</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"_Toc129926089" </w:instrText>
          </w:r>
          <w:r>
            <w:fldChar w:fldCharType="separate"/>
          </w:r>
          <w:r>
            <w:rPr>
              <w:rStyle w:val="17"/>
              <w:rFonts w:hint="eastAsia" w:ascii="仿宋" w:hAnsi="仿宋"/>
              <w:sz w:val="28"/>
            </w:rPr>
            <w:t>第四节</w:t>
          </w:r>
          <w:r>
            <w:rPr>
              <w:rStyle w:val="17"/>
              <w:rFonts w:ascii="仿宋" w:hAnsi="仿宋"/>
              <w:sz w:val="28"/>
            </w:rPr>
            <w:t xml:space="preserve"> </w:t>
          </w:r>
          <w:r>
            <w:rPr>
              <w:rStyle w:val="17"/>
              <w:rFonts w:hint="eastAsia" w:ascii="仿宋" w:hAnsi="仿宋"/>
              <w:sz w:val="28"/>
            </w:rPr>
            <w:t>加强其他污染物防治</w:t>
          </w:r>
          <w:r>
            <w:rPr>
              <w:rFonts w:ascii="仿宋" w:hAnsi="仿宋"/>
              <w:sz w:val="28"/>
            </w:rPr>
            <w:tab/>
          </w:r>
          <w:r>
            <w:rPr>
              <w:rFonts w:ascii="仿宋" w:hAnsi="仿宋"/>
              <w:sz w:val="28"/>
            </w:rPr>
            <w:fldChar w:fldCharType="begin"/>
          </w:r>
          <w:r>
            <w:rPr>
              <w:rFonts w:ascii="仿宋" w:hAnsi="仿宋"/>
              <w:sz w:val="28"/>
            </w:rPr>
            <w:instrText xml:space="preserve"> PAGEREF _Toc129926089 \h </w:instrText>
          </w:r>
          <w:r>
            <w:rPr>
              <w:rFonts w:ascii="仿宋" w:hAnsi="仿宋"/>
              <w:sz w:val="28"/>
            </w:rPr>
            <w:fldChar w:fldCharType="separate"/>
          </w:r>
          <w:r>
            <w:rPr>
              <w:rFonts w:ascii="仿宋" w:hAnsi="仿宋"/>
              <w:sz w:val="28"/>
            </w:rPr>
            <w:t>25</w:t>
          </w:r>
          <w:r>
            <w:rPr>
              <w:rFonts w:ascii="仿宋" w:hAnsi="仿宋"/>
              <w:sz w:val="28"/>
            </w:rPr>
            <w:fldChar w:fldCharType="end"/>
          </w:r>
          <w:r>
            <w:rPr>
              <w:rFonts w:ascii="仿宋" w:hAnsi="仿宋"/>
              <w:sz w:val="28"/>
            </w:rPr>
            <w:fldChar w:fldCharType="end"/>
          </w:r>
        </w:p>
        <w:p>
          <w:pPr>
            <w:pStyle w:val="11"/>
            <w:tabs>
              <w:tab w:val="right" w:leader="dot" w:pos="8296"/>
            </w:tabs>
            <w:snapToGrid w:val="0"/>
            <w:spacing w:line="300" w:lineRule="auto"/>
            <w:ind w:firstLine="560"/>
            <w:rPr>
              <w:rFonts w:ascii="仿宋" w:hAnsi="仿宋"/>
              <w:sz w:val="20"/>
            </w:rPr>
          </w:pPr>
          <w:r>
            <w:fldChar w:fldCharType="begin"/>
          </w:r>
          <w:r>
            <w:instrText xml:space="preserve"> HYPERLINK \l "_Toc129926090" </w:instrText>
          </w:r>
          <w:r>
            <w:fldChar w:fldCharType="separate"/>
          </w:r>
          <w:r>
            <w:rPr>
              <w:rStyle w:val="17"/>
              <w:rFonts w:hint="eastAsia" w:ascii="仿宋" w:hAnsi="仿宋"/>
              <w:sz w:val="28"/>
            </w:rPr>
            <w:t>第五章</w:t>
          </w:r>
          <w:r>
            <w:rPr>
              <w:rStyle w:val="17"/>
              <w:rFonts w:ascii="仿宋" w:hAnsi="仿宋"/>
              <w:sz w:val="28"/>
            </w:rPr>
            <w:t xml:space="preserve"> </w:t>
          </w:r>
          <w:r>
            <w:rPr>
              <w:rStyle w:val="17"/>
              <w:rFonts w:hint="eastAsia" w:ascii="仿宋" w:hAnsi="仿宋"/>
              <w:sz w:val="28"/>
            </w:rPr>
            <w:t>加强“三水”统筹</w:t>
          </w:r>
          <w:r>
            <w:rPr>
              <w:rStyle w:val="17"/>
              <w:rFonts w:ascii="仿宋" w:hAnsi="仿宋"/>
              <w:sz w:val="28"/>
            </w:rPr>
            <w:t xml:space="preserve"> </w:t>
          </w:r>
          <w:r>
            <w:rPr>
              <w:rStyle w:val="17"/>
              <w:rFonts w:hint="eastAsia" w:ascii="仿宋" w:hAnsi="仿宋"/>
              <w:sz w:val="28"/>
            </w:rPr>
            <w:t>切实守护一方好水</w:t>
          </w:r>
          <w:r>
            <w:rPr>
              <w:rFonts w:ascii="仿宋" w:hAnsi="仿宋"/>
              <w:sz w:val="28"/>
            </w:rPr>
            <w:tab/>
          </w:r>
          <w:r>
            <w:rPr>
              <w:rFonts w:ascii="仿宋" w:hAnsi="仿宋"/>
              <w:sz w:val="28"/>
            </w:rPr>
            <w:fldChar w:fldCharType="begin"/>
          </w:r>
          <w:r>
            <w:rPr>
              <w:rFonts w:ascii="仿宋" w:hAnsi="仿宋"/>
              <w:sz w:val="28"/>
            </w:rPr>
            <w:instrText xml:space="preserve"> PAGEREF _Toc129926090 \h </w:instrText>
          </w:r>
          <w:r>
            <w:rPr>
              <w:rFonts w:ascii="仿宋" w:hAnsi="仿宋"/>
              <w:sz w:val="28"/>
            </w:rPr>
            <w:fldChar w:fldCharType="separate"/>
          </w:r>
          <w:r>
            <w:rPr>
              <w:rFonts w:ascii="仿宋" w:hAnsi="仿宋"/>
              <w:sz w:val="28"/>
            </w:rPr>
            <w:t>27</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"_Toc129926091"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统筹推进“三水”系统治理</w:t>
          </w:r>
          <w:r>
            <w:rPr>
              <w:rFonts w:ascii="仿宋" w:hAnsi="仿宋"/>
              <w:sz w:val="28"/>
            </w:rPr>
            <w:tab/>
          </w:r>
          <w:r>
            <w:rPr>
              <w:rFonts w:ascii="仿宋" w:hAnsi="仿宋"/>
              <w:sz w:val="28"/>
            </w:rPr>
            <w:fldChar w:fldCharType="begin"/>
          </w:r>
          <w:r>
            <w:rPr>
              <w:rFonts w:ascii="仿宋" w:hAnsi="仿宋"/>
              <w:sz w:val="28"/>
            </w:rPr>
            <w:instrText xml:space="preserve"> PAGEREF _Toc129926091 \h </w:instrText>
          </w:r>
          <w:r>
            <w:rPr>
              <w:rFonts w:ascii="仿宋" w:hAnsi="仿宋"/>
              <w:sz w:val="28"/>
            </w:rPr>
            <w:fldChar w:fldCharType="separate"/>
          </w:r>
          <w:r>
            <w:rPr>
              <w:rFonts w:ascii="仿宋" w:hAnsi="仿宋"/>
              <w:sz w:val="28"/>
            </w:rPr>
            <w:t>27</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"_Toc129926092"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推进水环境质量改善</w:t>
          </w:r>
          <w:r>
            <w:rPr>
              <w:rFonts w:ascii="仿宋" w:hAnsi="仿宋"/>
              <w:sz w:val="28"/>
            </w:rPr>
            <w:tab/>
          </w:r>
          <w:r>
            <w:rPr>
              <w:rFonts w:ascii="仿宋" w:hAnsi="仿宋"/>
              <w:sz w:val="28"/>
            </w:rPr>
            <w:fldChar w:fldCharType="begin"/>
          </w:r>
          <w:r>
            <w:rPr>
              <w:rFonts w:ascii="仿宋" w:hAnsi="仿宋"/>
              <w:sz w:val="28"/>
            </w:rPr>
            <w:instrText xml:space="preserve"> PAGEREF _Toc129926092 \h </w:instrText>
          </w:r>
          <w:r>
            <w:rPr>
              <w:rFonts w:ascii="仿宋" w:hAnsi="仿宋"/>
              <w:sz w:val="28"/>
            </w:rPr>
            <w:fldChar w:fldCharType="separate"/>
          </w:r>
          <w:r>
            <w:rPr>
              <w:rFonts w:ascii="仿宋" w:hAnsi="仿宋"/>
              <w:sz w:val="28"/>
            </w:rPr>
            <w:t>29</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"_Toc129926093"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强化水资源保护利用</w:t>
          </w:r>
          <w:r>
            <w:rPr>
              <w:rFonts w:ascii="仿宋" w:hAnsi="仿宋"/>
              <w:sz w:val="28"/>
            </w:rPr>
            <w:tab/>
          </w:r>
          <w:r>
            <w:rPr>
              <w:rFonts w:ascii="仿宋" w:hAnsi="仿宋"/>
              <w:sz w:val="28"/>
            </w:rPr>
            <w:fldChar w:fldCharType="begin"/>
          </w:r>
          <w:r>
            <w:rPr>
              <w:rFonts w:ascii="仿宋" w:hAnsi="仿宋"/>
              <w:sz w:val="28"/>
            </w:rPr>
            <w:instrText xml:space="preserve"> PAGEREF _Toc129926093 \h </w:instrText>
          </w:r>
          <w:r>
            <w:rPr>
              <w:rFonts w:ascii="仿宋" w:hAnsi="仿宋"/>
              <w:sz w:val="28"/>
            </w:rPr>
            <w:fldChar w:fldCharType="separate"/>
          </w:r>
          <w:r>
            <w:rPr>
              <w:rFonts w:ascii="仿宋" w:hAnsi="仿宋"/>
              <w:sz w:val="28"/>
            </w:rPr>
            <w:t>30</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"_Toc129926094" </w:instrText>
          </w:r>
          <w:r>
            <w:fldChar w:fldCharType="separate"/>
          </w:r>
          <w:r>
            <w:rPr>
              <w:rStyle w:val="17"/>
              <w:rFonts w:hint="eastAsia" w:ascii="仿宋" w:hAnsi="仿宋"/>
              <w:sz w:val="28"/>
            </w:rPr>
            <w:t>第四节</w:t>
          </w:r>
          <w:r>
            <w:rPr>
              <w:rStyle w:val="17"/>
              <w:rFonts w:ascii="仿宋" w:hAnsi="仿宋"/>
              <w:sz w:val="28"/>
            </w:rPr>
            <w:t xml:space="preserve"> </w:t>
          </w:r>
          <w:r>
            <w:rPr>
              <w:rStyle w:val="17"/>
              <w:rFonts w:hint="eastAsia" w:ascii="仿宋" w:hAnsi="仿宋"/>
              <w:sz w:val="28"/>
            </w:rPr>
            <w:t>推动水生态保护修复</w:t>
          </w:r>
          <w:r>
            <w:rPr>
              <w:rFonts w:ascii="仿宋" w:hAnsi="仿宋"/>
              <w:sz w:val="28"/>
            </w:rPr>
            <w:tab/>
          </w:r>
          <w:r>
            <w:rPr>
              <w:rFonts w:ascii="仿宋" w:hAnsi="仿宋"/>
              <w:sz w:val="28"/>
            </w:rPr>
            <w:fldChar w:fldCharType="begin"/>
          </w:r>
          <w:r>
            <w:rPr>
              <w:rFonts w:ascii="仿宋" w:hAnsi="仿宋"/>
              <w:sz w:val="28"/>
            </w:rPr>
            <w:instrText xml:space="preserve"> PAGEREF _Toc129926094 \h </w:instrText>
          </w:r>
          <w:r>
            <w:rPr>
              <w:rFonts w:ascii="仿宋" w:hAnsi="仿宋"/>
              <w:sz w:val="28"/>
            </w:rPr>
            <w:fldChar w:fldCharType="separate"/>
          </w:r>
          <w:r>
            <w:rPr>
              <w:rFonts w:ascii="仿宋" w:hAnsi="仿宋"/>
              <w:sz w:val="28"/>
            </w:rPr>
            <w:t>31</w:t>
          </w:r>
          <w:r>
            <w:rPr>
              <w:rFonts w:ascii="仿宋" w:hAnsi="仿宋"/>
              <w:sz w:val="28"/>
            </w:rPr>
            <w:fldChar w:fldCharType="end"/>
          </w:r>
          <w:r>
            <w:rPr>
              <w:rFonts w:ascii="仿宋" w:hAnsi="仿宋"/>
              <w:sz w:val="28"/>
            </w:rPr>
            <w:fldChar w:fldCharType="end"/>
          </w:r>
        </w:p>
        <w:p>
          <w:pPr>
            <w:pStyle w:val="11"/>
            <w:tabs>
              <w:tab w:val="right" w:leader="dot" w:pos="8296"/>
            </w:tabs>
            <w:snapToGrid w:val="0"/>
            <w:spacing w:line="300" w:lineRule="auto"/>
            <w:ind w:firstLine="560"/>
            <w:rPr>
              <w:rFonts w:ascii="仿宋" w:hAnsi="仿宋"/>
              <w:sz w:val="20"/>
            </w:rPr>
          </w:pPr>
          <w:r>
            <w:fldChar w:fldCharType="begin"/>
          </w:r>
          <w:r>
            <w:instrText xml:space="preserve"> HYPERLINK \l "_Toc129926095" </w:instrText>
          </w:r>
          <w:r>
            <w:fldChar w:fldCharType="separate"/>
          </w:r>
          <w:r>
            <w:rPr>
              <w:rStyle w:val="17"/>
              <w:rFonts w:hint="eastAsia" w:ascii="仿宋" w:hAnsi="仿宋"/>
              <w:sz w:val="28"/>
            </w:rPr>
            <w:t>第六章</w:t>
          </w:r>
          <w:r>
            <w:rPr>
              <w:rStyle w:val="17"/>
              <w:rFonts w:ascii="仿宋" w:hAnsi="仿宋"/>
              <w:sz w:val="28"/>
            </w:rPr>
            <w:t xml:space="preserve"> </w:t>
          </w:r>
          <w:r>
            <w:rPr>
              <w:rStyle w:val="17"/>
              <w:rFonts w:hint="eastAsia" w:ascii="仿宋" w:hAnsi="仿宋"/>
              <w:sz w:val="28"/>
            </w:rPr>
            <w:t>深化土壤污染防治</w:t>
          </w:r>
          <w:r>
            <w:rPr>
              <w:rStyle w:val="17"/>
              <w:rFonts w:ascii="仿宋" w:hAnsi="仿宋"/>
              <w:sz w:val="28"/>
            </w:rPr>
            <w:t xml:space="preserve"> </w:t>
          </w:r>
          <w:r>
            <w:rPr>
              <w:rStyle w:val="17"/>
              <w:rFonts w:hint="eastAsia" w:ascii="仿宋" w:hAnsi="仿宋"/>
              <w:sz w:val="28"/>
            </w:rPr>
            <w:t>改善农村人居环境</w:t>
          </w:r>
          <w:r>
            <w:rPr>
              <w:rFonts w:ascii="仿宋" w:hAnsi="仿宋"/>
              <w:sz w:val="28"/>
            </w:rPr>
            <w:tab/>
          </w:r>
          <w:r>
            <w:rPr>
              <w:rFonts w:ascii="仿宋" w:hAnsi="仿宋"/>
              <w:sz w:val="28"/>
            </w:rPr>
            <w:fldChar w:fldCharType="begin"/>
          </w:r>
          <w:r>
            <w:rPr>
              <w:rFonts w:ascii="仿宋" w:hAnsi="仿宋"/>
              <w:sz w:val="28"/>
            </w:rPr>
            <w:instrText xml:space="preserve"> PAGEREF _Toc129926095 \h </w:instrText>
          </w:r>
          <w:r>
            <w:rPr>
              <w:rFonts w:ascii="仿宋" w:hAnsi="仿宋"/>
              <w:sz w:val="28"/>
            </w:rPr>
            <w:fldChar w:fldCharType="separate"/>
          </w:r>
          <w:r>
            <w:rPr>
              <w:rFonts w:ascii="仿宋" w:hAnsi="仿宋"/>
              <w:sz w:val="28"/>
            </w:rPr>
            <w:t>33</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"_Toc129926096"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协同推进土壤和地下水污染防控</w:t>
          </w:r>
          <w:r>
            <w:rPr>
              <w:rFonts w:ascii="仿宋" w:hAnsi="仿宋"/>
              <w:sz w:val="28"/>
            </w:rPr>
            <w:tab/>
          </w:r>
          <w:r>
            <w:rPr>
              <w:rFonts w:ascii="仿宋" w:hAnsi="仿宋"/>
              <w:sz w:val="28"/>
            </w:rPr>
            <w:fldChar w:fldCharType="begin"/>
          </w:r>
          <w:r>
            <w:rPr>
              <w:rFonts w:ascii="仿宋" w:hAnsi="仿宋"/>
              <w:sz w:val="28"/>
            </w:rPr>
            <w:instrText xml:space="preserve"> PAGEREF _Toc129926096 \h </w:instrText>
          </w:r>
          <w:r>
            <w:rPr>
              <w:rFonts w:ascii="仿宋" w:hAnsi="仿宋"/>
              <w:sz w:val="28"/>
            </w:rPr>
            <w:fldChar w:fldCharType="separate"/>
          </w:r>
          <w:r>
            <w:rPr>
              <w:rFonts w:ascii="仿宋" w:hAnsi="仿宋"/>
              <w:sz w:val="28"/>
            </w:rPr>
            <w:t>33</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"_Toc129926097"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推进土壤分类管控利用</w:t>
          </w:r>
          <w:r>
            <w:rPr>
              <w:rFonts w:ascii="仿宋" w:hAnsi="仿宋"/>
              <w:sz w:val="28"/>
            </w:rPr>
            <w:tab/>
          </w:r>
          <w:r>
            <w:rPr>
              <w:rFonts w:ascii="仿宋" w:hAnsi="仿宋"/>
              <w:sz w:val="28"/>
            </w:rPr>
            <w:fldChar w:fldCharType="begin"/>
          </w:r>
          <w:r>
            <w:rPr>
              <w:rFonts w:ascii="仿宋" w:hAnsi="仿宋"/>
              <w:sz w:val="28"/>
            </w:rPr>
            <w:instrText xml:space="preserve"> PAGEREF _Toc129926097 \h </w:instrText>
          </w:r>
          <w:r>
            <w:rPr>
              <w:rFonts w:ascii="仿宋" w:hAnsi="仿宋"/>
              <w:sz w:val="28"/>
            </w:rPr>
            <w:fldChar w:fldCharType="separate"/>
          </w:r>
          <w:r>
            <w:rPr>
              <w:rFonts w:ascii="仿宋" w:hAnsi="仿宋"/>
              <w:sz w:val="28"/>
            </w:rPr>
            <w:t>34</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"_Toc129926098"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防范地下水污染风险</w:t>
          </w:r>
          <w:r>
            <w:rPr>
              <w:rFonts w:ascii="仿宋" w:hAnsi="仿宋"/>
              <w:sz w:val="28"/>
            </w:rPr>
            <w:tab/>
          </w:r>
          <w:r>
            <w:rPr>
              <w:rFonts w:ascii="仿宋" w:hAnsi="仿宋"/>
              <w:sz w:val="28"/>
            </w:rPr>
            <w:fldChar w:fldCharType="begin"/>
          </w:r>
          <w:r>
            <w:rPr>
              <w:rFonts w:ascii="仿宋" w:hAnsi="仿宋"/>
              <w:sz w:val="28"/>
            </w:rPr>
            <w:instrText xml:space="preserve"> PAGEREF _Toc129926098 \h </w:instrText>
          </w:r>
          <w:r>
            <w:rPr>
              <w:rFonts w:ascii="仿宋" w:hAnsi="仿宋"/>
              <w:sz w:val="28"/>
            </w:rPr>
            <w:fldChar w:fldCharType="separate"/>
          </w:r>
          <w:r>
            <w:rPr>
              <w:rFonts w:ascii="仿宋" w:hAnsi="仿宋"/>
              <w:sz w:val="28"/>
            </w:rPr>
            <w:t>34</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"_Toc129926099" </w:instrText>
          </w:r>
          <w:r>
            <w:fldChar w:fldCharType="separate"/>
          </w:r>
          <w:r>
            <w:rPr>
              <w:rStyle w:val="17"/>
              <w:rFonts w:hint="eastAsia" w:ascii="仿宋" w:hAnsi="仿宋"/>
              <w:sz w:val="28"/>
            </w:rPr>
            <w:t>第四节</w:t>
          </w:r>
          <w:r>
            <w:rPr>
              <w:rStyle w:val="17"/>
              <w:rFonts w:ascii="仿宋" w:hAnsi="仿宋"/>
              <w:sz w:val="28"/>
            </w:rPr>
            <w:t xml:space="preserve"> </w:t>
          </w:r>
          <w:r>
            <w:rPr>
              <w:rStyle w:val="17"/>
              <w:rFonts w:hint="eastAsia" w:ascii="仿宋" w:hAnsi="仿宋"/>
              <w:sz w:val="28"/>
            </w:rPr>
            <w:t>改善农村生产生活环境</w:t>
          </w:r>
          <w:r>
            <w:rPr>
              <w:rFonts w:ascii="仿宋" w:hAnsi="仿宋"/>
              <w:sz w:val="28"/>
            </w:rPr>
            <w:tab/>
          </w:r>
          <w:r>
            <w:rPr>
              <w:rFonts w:ascii="仿宋" w:hAnsi="仿宋"/>
              <w:sz w:val="28"/>
            </w:rPr>
            <w:fldChar w:fldCharType="begin"/>
          </w:r>
          <w:r>
            <w:rPr>
              <w:rFonts w:ascii="仿宋" w:hAnsi="仿宋"/>
              <w:sz w:val="28"/>
            </w:rPr>
            <w:instrText xml:space="preserve"> PAGEREF _Toc129926099 \h </w:instrText>
          </w:r>
          <w:r>
            <w:rPr>
              <w:rFonts w:ascii="仿宋" w:hAnsi="仿宋"/>
              <w:sz w:val="28"/>
            </w:rPr>
            <w:fldChar w:fldCharType="separate"/>
          </w:r>
          <w:r>
            <w:rPr>
              <w:rFonts w:ascii="仿宋" w:hAnsi="仿宋"/>
              <w:sz w:val="28"/>
            </w:rPr>
            <w:t>35</w:t>
          </w:r>
          <w:r>
            <w:rPr>
              <w:rFonts w:ascii="仿宋" w:hAnsi="仿宋"/>
              <w:sz w:val="28"/>
            </w:rPr>
            <w:fldChar w:fldCharType="end"/>
          </w:r>
          <w:r>
            <w:rPr>
              <w:rFonts w:ascii="仿宋" w:hAnsi="仿宋"/>
              <w:sz w:val="28"/>
            </w:rPr>
            <w:fldChar w:fldCharType="end"/>
          </w:r>
        </w:p>
        <w:p>
          <w:pPr>
            <w:pStyle w:val="11"/>
            <w:tabs>
              <w:tab w:val="right" w:leader="dot" w:pos="8296"/>
            </w:tabs>
            <w:snapToGrid w:val="0"/>
            <w:spacing w:line="300" w:lineRule="auto"/>
            <w:ind w:firstLine="560"/>
            <w:rPr>
              <w:rFonts w:ascii="仿宋" w:hAnsi="仿宋"/>
              <w:sz w:val="20"/>
            </w:rPr>
          </w:pPr>
          <w:r>
            <w:fldChar w:fldCharType="begin"/>
          </w:r>
          <w:r>
            <w:instrText xml:space="preserve"> HYPERLINK \l "_Toc129926100" </w:instrText>
          </w:r>
          <w:r>
            <w:fldChar w:fldCharType="separate"/>
          </w:r>
          <w:r>
            <w:rPr>
              <w:rStyle w:val="17"/>
              <w:rFonts w:hint="eastAsia" w:ascii="仿宋" w:hAnsi="仿宋"/>
              <w:sz w:val="28"/>
            </w:rPr>
            <w:t>第七章</w:t>
          </w:r>
          <w:r>
            <w:rPr>
              <w:rStyle w:val="17"/>
              <w:rFonts w:ascii="仿宋" w:hAnsi="仿宋"/>
              <w:sz w:val="28"/>
            </w:rPr>
            <w:t xml:space="preserve"> </w:t>
          </w:r>
          <w:r>
            <w:rPr>
              <w:rStyle w:val="17"/>
              <w:rFonts w:hint="eastAsia" w:ascii="仿宋" w:hAnsi="仿宋"/>
              <w:sz w:val="28"/>
            </w:rPr>
            <w:t>加强生态保护</w:t>
          </w:r>
          <w:r>
            <w:rPr>
              <w:rStyle w:val="17"/>
              <w:rFonts w:ascii="仿宋" w:hAnsi="仿宋"/>
              <w:sz w:val="28"/>
            </w:rPr>
            <w:t xml:space="preserve"> </w:t>
          </w:r>
          <w:r>
            <w:rPr>
              <w:rStyle w:val="17"/>
              <w:rFonts w:hint="eastAsia" w:ascii="仿宋" w:hAnsi="仿宋"/>
              <w:sz w:val="28"/>
            </w:rPr>
            <w:t>牢筑生态安全屏障</w:t>
          </w:r>
          <w:r>
            <w:rPr>
              <w:rFonts w:ascii="仿宋" w:hAnsi="仿宋"/>
              <w:sz w:val="28"/>
            </w:rPr>
            <w:tab/>
          </w:r>
          <w:r>
            <w:rPr>
              <w:rFonts w:ascii="仿宋" w:hAnsi="仿宋"/>
              <w:sz w:val="28"/>
            </w:rPr>
            <w:fldChar w:fldCharType="begin"/>
          </w:r>
          <w:r>
            <w:rPr>
              <w:rFonts w:ascii="仿宋" w:hAnsi="仿宋"/>
              <w:sz w:val="28"/>
            </w:rPr>
            <w:instrText xml:space="preserve"> PAGEREF _Toc129926100 \h </w:instrText>
          </w:r>
          <w:r>
            <w:rPr>
              <w:rFonts w:ascii="仿宋" w:hAnsi="仿宋"/>
              <w:sz w:val="28"/>
            </w:rPr>
            <w:fldChar w:fldCharType="separate"/>
          </w:r>
          <w:r>
            <w:rPr>
              <w:rFonts w:ascii="仿宋" w:hAnsi="仿宋"/>
              <w:sz w:val="28"/>
            </w:rPr>
            <w:t>37</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"_Toc129926101"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推进森林生态保护修复</w:t>
          </w:r>
          <w:r>
            <w:rPr>
              <w:rFonts w:ascii="仿宋" w:hAnsi="仿宋"/>
              <w:sz w:val="28"/>
            </w:rPr>
            <w:tab/>
          </w:r>
          <w:r>
            <w:rPr>
              <w:rFonts w:ascii="仿宋" w:hAnsi="仿宋"/>
              <w:sz w:val="28"/>
            </w:rPr>
            <w:fldChar w:fldCharType="begin"/>
          </w:r>
          <w:r>
            <w:rPr>
              <w:rFonts w:ascii="仿宋" w:hAnsi="仿宋"/>
              <w:sz w:val="28"/>
            </w:rPr>
            <w:instrText xml:space="preserve"> PAGEREF _Toc129926101 \h </w:instrText>
          </w:r>
          <w:r>
            <w:rPr>
              <w:rFonts w:ascii="仿宋" w:hAnsi="仿宋"/>
              <w:sz w:val="28"/>
            </w:rPr>
            <w:fldChar w:fldCharType="separate"/>
          </w:r>
          <w:r>
            <w:rPr>
              <w:rFonts w:ascii="仿宋" w:hAnsi="仿宋"/>
              <w:sz w:val="28"/>
            </w:rPr>
            <w:t>37</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"_Toc129926102"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推进自然保护地保护修复</w:t>
          </w:r>
          <w:r>
            <w:rPr>
              <w:rFonts w:ascii="仿宋" w:hAnsi="仿宋"/>
              <w:sz w:val="28"/>
            </w:rPr>
            <w:tab/>
          </w:r>
          <w:r>
            <w:rPr>
              <w:rFonts w:ascii="仿宋" w:hAnsi="仿宋"/>
              <w:sz w:val="28"/>
            </w:rPr>
            <w:fldChar w:fldCharType="begin"/>
          </w:r>
          <w:r>
            <w:rPr>
              <w:rFonts w:ascii="仿宋" w:hAnsi="仿宋"/>
              <w:sz w:val="28"/>
            </w:rPr>
            <w:instrText xml:space="preserve"> PAGEREF _Toc129926102 \h </w:instrText>
          </w:r>
          <w:r>
            <w:rPr>
              <w:rFonts w:ascii="仿宋" w:hAnsi="仿宋"/>
              <w:sz w:val="28"/>
            </w:rPr>
            <w:fldChar w:fldCharType="separate"/>
          </w:r>
          <w:r>
            <w:rPr>
              <w:rFonts w:ascii="仿宋" w:hAnsi="仿宋"/>
              <w:sz w:val="28"/>
            </w:rPr>
            <w:t>37</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"_Toc129926103"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实施湿地综合治理</w:t>
          </w:r>
          <w:r>
            <w:rPr>
              <w:rFonts w:ascii="仿宋" w:hAnsi="仿宋"/>
              <w:sz w:val="28"/>
            </w:rPr>
            <w:tab/>
          </w:r>
          <w:r>
            <w:rPr>
              <w:rFonts w:ascii="仿宋" w:hAnsi="仿宋"/>
              <w:sz w:val="28"/>
            </w:rPr>
            <w:fldChar w:fldCharType="begin"/>
          </w:r>
          <w:r>
            <w:rPr>
              <w:rFonts w:ascii="仿宋" w:hAnsi="仿宋"/>
              <w:sz w:val="28"/>
            </w:rPr>
            <w:instrText xml:space="preserve"> PAGEREF _Toc129926103 \h </w:instrText>
          </w:r>
          <w:r>
            <w:rPr>
              <w:rFonts w:ascii="仿宋" w:hAnsi="仿宋"/>
              <w:sz w:val="28"/>
            </w:rPr>
            <w:fldChar w:fldCharType="separate"/>
          </w:r>
          <w:r>
            <w:rPr>
              <w:rFonts w:ascii="仿宋" w:hAnsi="仿宋"/>
              <w:sz w:val="28"/>
            </w:rPr>
            <w:t>38</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"_Toc129926104" </w:instrText>
          </w:r>
          <w:r>
            <w:fldChar w:fldCharType="separate"/>
          </w:r>
          <w:r>
            <w:rPr>
              <w:rStyle w:val="17"/>
              <w:rFonts w:hint="eastAsia" w:ascii="仿宋" w:hAnsi="仿宋"/>
              <w:sz w:val="28"/>
            </w:rPr>
            <w:t>第四节</w:t>
          </w:r>
          <w:r>
            <w:rPr>
              <w:rStyle w:val="17"/>
              <w:rFonts w:ascii="仿宋" w:hAnsi="仿宋"/>
              <w:sz w:val="28"/>
            </w:rPr>
            <w:t xml:space="preserve"> </w:t>
          </w:r>
          <w:r>
            <w:rPr>
              <w:rStyle w:val="17"/>
              <w:rFonts w:hint="eastAsia" w:ascii="仿宋" w:hAnsi="仿宋"/>
              <w:sz w:val="28"/>
            </w:rPr>
            <w:t>加强生物多样性保护</w:t>
          </w:r>
          <w:r>
            <w:rPr>
              <w:rFonts w:ascii="仿宋" w:hAnsi="仿宋"/>
              <w:sz w:val="28"/>
            </w:rPr>
            <w:tab/>
          </w:r>
          <w:r>
            <w:rPr>
              <w:rFonts w:ascii="仿宋" w:hAnsi="仿宋"/>
              <w:sz w:val="28"/>
            </w:rPr>
            <w:fldChar w:fldCharType="begin"/>
          </w:r>
          <w:r>
            <w:rPr>
              <w:rFonts w:ascii="仿宋" w:hAnsi="仿宋"/>
              <w:sz w:val="28"/>
            </w:rPr>
            <w:instrText xml:space="preserve"> PAGEREF _Toc129926104 \h </w:instrText>
          </w:r>
          <w:r>
            <w:rPr>
              <w:rFonts w:ascii="仿宋" w:hAnsi="仿宋"/>
              <w:sz w:val="28"/>
            </w:rPr>
            <w:fldChar w:fldCharType="separate"/>
          </w:r>
          <w:r>
            <w:rPr>
              <w:rFonts w:ascii="仿宋" w:hAnsi="仿宋"/>
              <w:sz w:val="28"/>
            </w:rPr>
            <w:t>38</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"_Toc129926105" </w:instrText>
          </w:r>
          <w:r>
            <w:fldChar w:fldCharType="separate"/>
          </w:r>
          <w:r>
            <w:rPr>
              <w:rStyle w:val="17"/>
              <w:rFonts w:hint="eastAsia" w:ascii="仿宋" w:hAnsi="仿宋"/>
              <w:sz w:val="28"/>
            </w:rPr>
            <w:t>第五节</w:t>
          </w:r>
          <w:r>
            <w:rPr>
              <w:rStyle w:val="17"/>
              <w:rFonts w:ascii="仿宋" w:hAnsi="仿宋"/>
              <w:sz w:val="28"/>
            </w:rPr>
            <w:t xml:space="preserve"> </w:t>
          </w:r>
          <w:r>
            <w:rPr>
              <w:rStyle w:val="17"/>
              <w:rFonts w:hint="eastAsia" w:ascii="仿宋" w:hAnsi="仿宋"/>
              <w:sz w:val="28"/>
            </w:rPr>
            <w:t>完善生态示范创建体系</w:t>
          </w:r>
          <w:r>
            <w:rPr>
              <w:rFonts w:ascii="仿宋" w:hAnsi="仿宋"/>
              <w:sz w:val="28"/>
            </w:rPr>
            <w:tab/>
          </w:r>
          <w:r>
            <w:rPr>
              <w:rFonts w:ascii="仿宋" w:hAnsi="仿宋"/>
              <w:sz w:val="28"/>
            </w:rPr>
            <w:fldChar w:fldCharType="begin"/>
          </w:r>
          <w:r>
            <w:rPr>
              <w:rFonts w:ascii="仿宋" w:hAnsi="仿宋"/>
              <w:sz w:val="28"/>
            </w:rPr>
            <w:instrText xml:space="preserve"> PAGEREF _Toc129926105 \h </w:instrText>
          </w:r>
          <w:r>
            <w:rPr>
              <w:rFonts w:ascii="仿宋" w:hAnsi="仿宋"/>
              <w:sz w:val="28"/>
            </w:rPr>
            <w:fldChar w:fldCharType="separate"/>
          </w:r>
          <w:r>
            <w:rPr>
              <w:rFonts w:ascii="仿宋" w:hAnsi="仿宋"/>
              <w:sz w:val="28"/>
            </w:rPr>
            <w:t>39</w:t>
          </w:r>
          <w:r>
            <w:rPr>
              <w:rFonts w:ascii="仿宋" w:hAnsi="仿宋"/>
              <w:sz w:val="28"/>
            </w:rPr>
            <w:fldChar w:fldCharType="end"/>
          </w:r>
          <w:r>
            <w:rPr>
              <w:rFonts w:ascii="仿宋" w:hAnsi="仿宋"/>
              <w:sz w:val="28"/>
            </w:rPr>
            <w:fldChar w:fldCharType="end"/>
          </w:r>
        </w:p>
        <w:p>
          <w:pPr>
            <w:pStyle w:val="11"/>
            <w:tabs>
              <w:tab w:val="right" w:leader="dot" w:pos="8296"/>
            </w:tabs>
            <w:snapToGrid w:val="0"/>
            <w:spacing w:line="300" w:lineRule="auto"/>
            <w:ind w:firstLine="560"/>
            <w:rPr>
              <w:rFonts w:ascii="仿宋" w:hAnsi="仿宋"/>
              <w:sz w:val="20"/>
            </w:rPr>
          </w:pPr>
          <w:r>
            <w:fldChar w:fldCharType="begin"/>
          </w:r>
          <w:r>
            <w:instrText xml:space="preserve"> HYPERLINK \l "_Toc129926106" </w:instrText>
          </w:r>
          <w:r>
            <w:fldChar w:fldCharType="separate"/>
          </w:r>
          <w:r>
            <w:rPr>
              <w:rStyle w:val="17"/>
              <w:rFonts w:hint="eastAsia" w:ascii="仿宋" w:hAnsi="仿宋"/>
              <w:sz w:val="28"/>
            </w:rPr>
            <w:t>第八章</w:t>
          </w:r>
          <w:r>
            <w:rPr>
              <w:rStyle w:val="17"/>
              <w:rFonts w:ascii="仿宋" w:hAnsi="仿宋"/>
              <w:sz w:val="28"/>
            </w:rPr>
            <w:t xml:space="preserve"> </w:t>
          </w:r>
          <w:r>
            <w:rPr>
              <w:rStyle w:val="17"/>
              <w:rFonts w:hint="eastAsia" w:ascii="仿宋" w:hAnsi="仿宋"/>
              <w:sz w:val="28"/>
            </w:rPr>
            <w:t>强化系统管控</w:t>
          </w:r>
          <w:r>
            <w:rPr>
              <w:rStyle w:val="17"/>
              <w:rFonts w:ascii="仿宋" w:hAnsi="仿宋"/>
              <w:sz w:val="28"/>
            </w:rPr>
            <w:t xml:space="preserve"> </w:t>
          </w:r>
          <w:r>
            <w:rPr>
              <w:rStyle w:val="17"/>
              <w:rFonts w:hint="eastAsia" w:ascii="仿宋" w:hAnsi="仿宋"/>
              <w:sz w:val="28"/>
            </w:rPr>
            <w:t>防控生态环境风险</w:t>
          </w:r>
          <w:r>
            <w:rPr>
              <w:rFonts w:ascii="仿宋" w:hAnsi="仿宋"/>
              <w:sz w:val="28"/>
            </w:rPr>
            <w:tab/>
          </w:r>
          <w:r>
            <w:rPr>
              <w:rFonts w:ascii="仿宋" w:hAnsi="仿宋"/>
              <w:sz w:val="28"/>
            </w:rPr>
            <w:fldChar w:fldCharType="begin"/>
          </w:r>
          <w:r>
            <w:rPr>
              <w:rFonts w:ascii="仿宋" w:hAnsi="仿宋"/>
              <w:sz w:val="28"/>
            </w:rPr>
            <w:instrText xml:space="preserve"> PAGEREF _Toc129926106 \h </w:instrText>
          </w:r>
          <w:r>
            <w:rPr>
              <w:rFonts w:ascii="仿宋" w:hAnsi="仿宋"/>
              <w:sz w:val="28"/>
            </w:rPr>
            <w:fldChar w:fldCharType="separate"/>
          </w:r>
          <w:r>
            <w:rPr>
              <w:rFonts w:ascii="仿宋" w:hAnsi="仿宋"/>
              <w:sz w:val="28"/>
            </w:rPr>
            <w:t>40</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"_Toc129926107"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加强辐射与重金属风险防控</w:t>
          </w:r>
          <w:r>
            <w:rPr>
              <w:rFonts w:ascii="仿宋" w:hAnsi="仿宋"/>
              <w:sz w:val="28"/>
            </w:rPr>
            <w:tab/>
          </w:r>
          <w:r>
            <w:rPr>
              <w:rFonts w:ascii="仿宋" w:hAnsi="仿宋"/>
              <w:sz w:val="28"/>
            </w:rPr>
            <w:fldChar w:fldCharType="begin"/>
          </w:r>
          <w:r>
            <w:rPr>
              <w:rFonts w:ascii="仿宋" w:hAnsi="仿宋"/>
              <w:sz w:val="28"/>
            </w:rPr>
            <w:instrText xml:space="preserve"> PAGEREF _Toc129926107 \h </w:instrText>
          </w:r>
          <w:r>
            <w:rPr>
              <w:rFonts w:ascii="仿宋" w:hAnsi="仿宋"/>
              <w:sz w:val="28"/>
            </w:rPr>
            <w:fldChar w:fldCharType="separate"/>
          </w:r>
          <w:r>
            <w:rPr>
              <w:rFonts w:ascii="仿宋" w:hAnsi="仿宋"/>
              <w:sz w:val="28"/>
            </w:rPr>
            <w:t>40</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"_Toc129926108"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提升危险废物防控水平</w:t>
          </w:r>
          <w:r>
            <w:rPr>
              <w:rFonts w:ascii="仿宋" w:hAnsi="仿宋"/>
              <w:sz w:val="28"/>
            </w:rPr>
            <w:tab/>
          </w:r>
          <w:r>
            <w:rPr>
              <w:rFonts w:ascii="仿宋" w:hAnsi="仿宋"/>
              <w:sz w:val="28"/>
            </w:rPr>
            <w:fldChar w:fldCharType="begin"/>
          </w:r>
          <w:r>
            <w:rPr>
              <w:rFonts w:ascii="仿宋" w:hAnsi="仿宋"/>
              <w:sz w:val="28"/>
            </w:rPr>
            <w:instrText xml:space="preserve"> PAGEREF _Toc129926108 \h </w:instrText>
          </w:r>
          <w:r>
            <w:rPr>
              <w:rFonts w:ascii="仿宋" w:hAnsi="仿宋"/>
              <w:sz w:val="28"/>
            </w:rPr>
            <w:fldChar w:fldCharType="separate"/>
          </w:r>
          <w:r>
            <w:rPr>
              <w:rFonts w:ascii="仿宋" w:hAnsi="仿宋"/>
              <w:sz w:val="28"/>
            </w:rPr>
            <w:t>41</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"_Toc129926109"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推进“无废城市”建设</w:t>
          </w:r>
          <w:r>
            <w:rPr>
              <w:rFonts w:ascii="仿宋" w:hAnsi="仿宋"/>
              <w:sz w:val="28"/>
            </w:rPr>
            <w:tab/>
          </w:r>
          <w:r>
            <w:rPr>
              <w:rFonts w:ascii="仿宋" w:hAnsi="仿宋"/>
              <w:sz w:val="28"/>
            </w:rPr>
            <w:fldChar w:fldCharType="begin"/>
          </w:r>
          <w:r>
            <w:rPr>
              <w:rFonts w:ascii="仿宋" w:hAnsi="仿宋"/>
              <w:sz w:val="28"/>
            </w:rPr>
            <w:instrText xml:space="preserve"> PAGEREF _Toc129926109 \h </w:instrText>
          </w:r>
          <w:r>
            <w:rPr>
              <w:rFonts w:ascii="仿宋" w:hAnsi="仿宋"/>
              <w:sz w:val="28"/>
            </w:rPr>
            <w:fldChar w:fldCharType="separate"/>
          </w:r>
          <w:r>
            <w:rPr>
              <w:rFonts w:ascii="仿宋" w:hAnsi="仿宋"/>
              <w:sz w:val="28"/>
            </w:rPr>
            <w:t>41</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"_Toc129926110" </w:instrText>
          </w:r>
          <w:r>
            <w:fldChar w:fldCharType="separate"/>
          </w:r>
          <w:r>
            <w:rPr>
              <w:rStyle w:val="17"/>
              <w:rFonts w:hint="eastAsia" w:ascii="仿宋" w:hAnsi="仿宋"/>
              <w:sz w:val="28"/>
            </w:rPr>
            <w:t>第四节</w:t>
          </w:r>
          <w:r>
            <w:rPr>
              <w:rStyle w:val="17"/>
              <w:rFonts w:ascii="仿宋" w:hAnsi="仿宋"/>
              <w:sz w:val="28"/>
            </w:rPr>
            <w:t xml:space="preserve"> </w:t>
          </w:r>
          <w:r>
            <w:rPr>
              <w:rStyle w:val="17"/>
              <w:rFonts w:hint="eastAsia" w:ascii="仿宋" w:hAnsi="仿宋"/>
              <w:sz w:val="28"/>
            </w:rPr>
            <w:t>加强环境风险防控</w:t>
          </w:r>
          <w:r>
            <w:rPr>
              <w:rFonts w:ascii="仿宋" w:hAnsi="仿宋"/>
              <w:sz w:val="28"/>
            </w:rPr>
            <w:tab/>
          </w:r>
          <w:r>
            <w:rPr>
              <w:rFonts w:ascii="仿宋" w:hAnsi="仿宋"/>
              <w:sz w:val="28"/>
            </w:rPr>
            <w:fldChar w:fldCharType="begin"/>
          </w:r>
          <w:r>
            <w:rPr>
              <w:rFonts w:ascii="仿宋" w:hAnsi="仿宋"/>
              <w:sz w:val="28"/>
            </w:rPr>
            <w:instrText xml:space="preserve"> PAGEREF _Toc129926110 \h </w:instrText>
          </w:r>
          <w:r>
            <w:rPr>
              <w:rFonts w:ascii="仿宋" w:hAnsi="仿宋"/>
              <w:sz w:val="28"/>
            </w:rPr>
            <w:fldChar w:fldCharType="separate"/>
          </w:r>
          <w:r>
            <w:rPr>
              <w:rFonts w:ascii="仿宋" w:hAnsi="仿宋"/>
              <w:sz w:val="28"/>
            </w:rPr>
            <w:t>43</w:t>
          </w:r>
          <w:r>
            <w:rPr>
              <w:rFonts w:ascii="仿宋" w:hAnsi="仿宋"/>
              <w:sz w:val="28"/>
            </w:rPr>
            <w:fldChar w:fldCharType="end"/>
          </w:r>
          <w:r>
            <w:rPr>
              <w:rFonts w:ascii="仿宋" w:hAnsi="仿宋"/>
              <w:sz w:val="28"/>
            </w:rPr>
            <w:fldChar w:fldCharType="end"/>
          </w:r>
        </w:p>
        <w:p>
          <w:pPr>
            <w:pStyle w:val="11"/>
            <w:tabs>
              <w:tab w:val="right" w:leader="dot" w:pos="8296"/>
            </w:tabs>
            <w:snapToGrid w:val="0"/>
            <w:spacing w:line="300" w:lineRule="auto"/>
            <w:ind w:firstLine="560"/>
            <w:rPr>
              <w:rFonts w:ascii="仿宋" w:hAnsi="仿宋"/>
              <w:sz w:val="20"/>
            </w:rPr>
          </w:pPr>
          <w:r>
            <w:fldChar w:fldCharType="begin"/>
          </w:r>
          <w:r>
            <w:instrText xml:space="preserve"> HYPERLINK \l "_Toc129926111" </w:instrText>
          </w:r>
          <w:r>
            <w:fldChar w:fldCharType="separate"/>
          </w:r>
          <w:r>
            <w:rPr>
              <w:rStyle w:val="17"/>
              <w:rFonts w:hint="eastAsia" w:ascii="仿宋" w:hAnsi="仿宋"/>
              <w:sz w:val="28"/>
            </w:rPr>
            <w:t>第九章</w:t>
          </w:r>
          <w:r>
            <w:rPr>
              <w:rStyle w:val="17"/>
              <w:rFonts w:ascii="仿宋" w:hAnsi="仿宋"/>
              <w:sz w:val="28"/>
            </w:rPr>
            <w:t xml:space="preserve"> </w:t>
          </w:r>
          <w:r>
            <w:rPr>
              <w:rStyle w:val="17"/>
              <w:rFonts w:hint="eastAsia" w:ascii="仿宋" w:hAnsi="仿宋"/>
              <w:sz w:val="28"/>
            </w:rPr>
            <w:t>创新制度保障</w:t>
          </w:r>
          <w:r>
            <w:rPr>
              <w:rStyle w:val="17"/>
              <w:rFonts w:ascii="仿宋" w:hAnsi="仿宋"/>
              <w:sz w:val="28"/>
            </w:rPr>
            <w:t xml:space="preserve"> </w:t>
          </w:r>
          <w:r>
            <w:rPr>
              <w:rStyle w:val="17"/>
              <w:rFonts w:hint="eastAsia" w:ascii="仿宋" w:hAnsi="仿宋"/>
              <w:sz w:val="28"/>
            </w:rPr>
            <w:t>构建系统治理体系</w:t>
          </w:r>
          <w:r>
            <w:rPr>
              <w:rFonts w:ascii="仿宋" w:hAnsi="仿宋"/>
              <w:sz w:val="28"/>
            </w:rPr>
            <w:tab/>
          </w:r>
          <w:r>
            <w:rPr>
              <w:rFonts w:ascii="仿宋" w:hAnsi="仿宋"/>
              <w:sz w:val="28"/>
            </w:rPr>
            <w:fldChar w:fldCharType="begin"/>
          </w:r>
          <w:r>
            <w:rPr>
              <w:rFonts w:ascii="仿宋" w:hAnsi="仿宋"/>
              <w:sz w:val="28"/>
            </w:rPr>
            <w:instrText xml:space="preserve"> PAGEREF _Toc129926111 \h </w:instrText>
          </w:r>
          <w:r>
            <w:rPr>
              <w:rFonts w:ascii="仿宋" w:hAnsi="仿宋"/>
              <w:sz w:val="28"/>
            </w:rPr>
            <w:fldChar w:fldCharType="separate"/>
          </w:r>
          <w:r>
            <w:rPr>
              <w:rFonts w:ascii="仿宋" w:hAnsi="仿宋"/>
              <w:sz w:val="28"/>
            </w:rPr>
            <w:t>44</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"_Toc129926112"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健全生态环境责任体系</w:t>
          </w:r>
          <w:r>
            <w:rPr>
              <w:rFonts w:ascii="仿宋" w:hAnsi="仿宋"/>
              <w:sz w:val="28"/>
            </w:rPr>
            <w:tab/>
          </w:r>
          <w:r>
            <w:rPr>
              <w:rFonts w:ascii="仿宋" w:hAnsi="仿宋"/>
              <w:sz w:val="28"/>
            </w:rPr>
            <w:fldChar w:fldCharType="begin"/>
          </w:r>
          <w:r>
            <w:rPr>
              <w:rFonts w:ascii="仿宋" w:hAnsi="仿宋"/>
              <w:sz w:val="28"/>
            </w:rPr>
            <w:instrText xml:space="preserve"> PAGEREF _Toc129926112 \h </w:instrText>
          </w:r>
          <w:r>
            <w:rPr>
              <w:rFonts w:ascii="仿宋" w:hAnsi="仿宋"/>
              <w:sz w:val="28"/>
            </w:rPr>
            <w:fldChar w:fldCharType="separate"/>
          </w:r>
          <w:r>
            <w:rPr>
              <w:rFonts w:ascii="仿宋" w:hAnsi="仿宋"/>
              <w:sz w:val="28"/>
            </w:rPr>
            <w:t>44</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"_Toc129926113"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健全环境治理监管体制机制</w:t>
          </w:r>
          <w:r>
            <w:rPr>
              <w:rFonts w:ascii="仿宋" w:hAnsi="仿宋"/>
              <w:sz w:val="28"/>
            </w:rPr>
            <w:tab/>
          </w:r>
          <w:r>
            <w:rPr>
              <w:rFonts w:ascii="仿宋" w:hAnsi="仿宋"/>
              <w:sz w:val="28"/>
            </w:rPr>
            <w:fldChar w:fldCharType="begin"/>
          </w:r>
          <w:r>
            <w:rPr>
              <w:rFonts w:ascii="仿宋" w:hAnsi="仿宋"/>
              <w:sz w:val="28"/>
            </w:rPr>
            <w:instrText xml:space="preserve"> PAGEREF _Toc129926113 \h </w:instrText>
          </w:r>
          <w:r>
            <w:rPr>
              <w:rFonts w:ascii="仿宋" w:hAnsi="仿宋"/>
              <w:sz w:val="28"/>
            </w:rPr>
            <w:fldChar w:fldCharType="separate"/>
          </w:r>
          <w:r>
            <w:rPr>
              <w:rFonts w:ascii="仿宋" w:hAnsi="仿宋"/>
              <w:sz w:val="28"/>
            </w:rPr>
            <w:t>45</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"_Toc129926114"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发挥市场机制激励作用</w:t>
          </w:r>
          <w:r>
            <w:rPr>
              <w:rFonts w:ascii="仿宋" w:hAnsi="仿宋"/>
              <w:sz w:val="28"/>
            </w:rPr>
            <w:tab/>
          </w:r>
          <w:r>
            <w:rPr>
              <w:rFonts w:ascii="仿宋" w:hAnsi="仿宋"/>
              <w:sz w:val="28"/>
            </w:rPr>
            <w:fldChar w:fldCharType="begin"/>
          </w:r>
          <w:r>
            <w:rPr>
              <w:rFonts w:ascii="仿宋" w:hAnsi="仿宋"/>
              <w:sz w:val="28"/>
            </w:rPr>
            <w:instrText xml:space="preserve"> PAGEREF _Toc129926114 \h </w:instrText>
          </w:r>
          <w:r>
            <w:rPr>
              <w:rFonts w:ascii="仿宋" w:hAnsi="仿宋"/>
              <w:sz w:val="28"/>
            </w:rPr>
            <w:fldChar w:fldCharType="separate"/>
          </w:r>
          <w:r>
            <w:rPr>
              <w:rFonts w:ascii="仿宋" w:hAnsi="仿宋"/>
              <w:sz w:val="28"/>
            </w:rPr>
            <w:t>46</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"_Toc129926115" </w:instrText>
          </w:r>
          <w:r>
            <w:fldChar w:fldCharType="separate"/>
          </w:r>
          <w:r>
            <w:rPr>
              <w:rStyle w:val="17"/>
              <w:rFonts w:hint="eastAsia" w:ascii="仿宋" w:hAnsi="仿宋"/>
              <w:sz w:val="28"/>
            </w:rPr>
            <w:t>第四节</w:t>
          </w:r>
          <w:r>
            <w:rPr>
              <w:rStyle w:val="17"/>
              <w:rFonts w:ascii="仿宋" w:hAnsi="仿宋"/>
              <w:sz w:val="28"/>
            </w:rPr>
            <w:t xml:space="preserve"> </w:t>
          </w:r>
          <w:r>
            <w:rPr>
              <w:rStyle w:val="17"/>
              <w:rFonts w:hint="eastAsia" w:ascii="仿宋" w:hAnsi="仿宋"/>
              <w:sz w:val="28"/>
            </w:rPr>
            <w:t>提升生态环保社会共治能力</w:t>
          </w:r>
          <w:r>
            <w:rPr>
              <w:rFonts w:ascii="仿宋" w:hAnsi="仿宋"/>
              <w:sz w:val="28"/>
            </w:rPr>
            <w:tab/>
          </w:r>
          <w:r>
            <w:rPr>
              <w:rFonts w:ascii="仿宋" w:hAnsi="仿宋"/>
              <w:sz w:val="28"/>
            </w:rPr>
            <w:fldChar w:fldCharType="begin"/>
          </w:r>
          <w:r>
            <w:rPr>
              <w:rFonts w:ascii="仿宋" w:hAnsi="仿宋"/>
              <w:sz w:val="28"/>
            </w:rPr>
            <w:instrText xml:space="preserve"> PAGEREF _Toc129926115 \h </w:instrText>
          </w:r>
          <w:r>
            <w:rPr>
              <w:rFonts w:ascii="仿宋" w:hAnsi="仿宋"/>
              <w:sz w:val="28"/>
            </w:rPr>
            <w:fldChar w:fldCharType="separate"/>
          </w:r>
          <w:r>
            <w:rPr>
              <w:rFonts w:ascii="仿宋" w:hAnsi="仿宋"/>
              <w:sz w:val="28"/>
            </w:rPr>
            <w:t>46</w:t>
          </w:r>
          <w:r>
            <w:rPr>
              <w:rFonts w:ascii="仿宋" w:hAnsi="仿宋"/>
              <w:sz w:val="28"/>
            </w:rPr>
            <w:fldChar w:fldCharType="end"/>
          </w:r>
          <w:r>
            <w:rPr>
              <w:rFonts w:ascii="仿宋" w:hAnsi="仿宋"/>
              <w:sz w:val="28"/>
            </w:rPr>
            <w:fldChar w:fldCharType="end"/>
          </w:r>
        </w:p>
        <w:p>
          <w:pPr>
            <w:pStyle w:val="11"/>
            <w:tabs>
              <w:tab w:val="right" w:leader="dot" w:pos="8296"/>
            </w:tabs>
            <w:snapToGrid w:val="0"/>
            <w:spacing w:line="300" w:lineRule="auto"/>
            <w:ind w:firstLine="560"/>
            <w:rPr>
              <w:rFonts w:ascii="仿宋" w:hAnsi="仿宋"/>
              <w:sz w:val="20"/>
            </w:rPr>
          </w:pPr>
          <w:r>
            <w:fldChar w:fldCharType="begin"/>
          </w:r>
          <w:r>
            <w:instrText xml:space="preserve"> HYPERLINK \l "_Toc129926116" </w:instrText>
          </w:r>
          <w:r>
            <w:fldChar w:fldCharType="separate"/>
          </w:r>
          <w:r>
            <w:rPr>
              <w:rStyle w:val="17"/>
              <w:rFonts w:hint="eastAsia" w:ascii="仿宋" w:hAnsi="仿宋"/>
              <w:sz w:val="28"/>
            </w:rPr>
            <w:t>第十章</w:t>
          </w:r>
          <w:r>
            <w:rPr>
              <w:rStyle w:val="17"/>
              <w:rFonts w:ascii="仿宋" w:hAnsi="仿宋"/>
              <w:sz w:val="28"/>
            </w:rPr>
            <w:t xml:space="preserve"> </w:t>
          </w:r>
          <w:r>
            <w:rPr>
              <w:rStyle w:val="17"/>
              <w:rFonts w:hint="eastAsia" w:ascii="仿宋" w:hAnsi="仿宋"/>
              <w:sz w:val="28"/>
            </w:rPr>
            <w:t>保障措施</w:t>
          </w:r>
          <w:r>
            <w:rPr>
              <w:rFonts w:ascii="仿宋" w:hAnsi="仿宋"/>
              <w:sz w:val="28"/>
            </w:rPr>
            <w:tab/>
          </w:r>
          <w:r>
            <w:rPr>
              <w:rFonts w:ascii="仿宋" w:hAnsi="仿宋"/>
              <w:sz w:val="28"/>
            </w:rPr>
            <w:fldChar w:fldCharType="begin"/>
          </w:r>
          <w:r>
            <w:rPr>
              <w:rFonts w:ascii="仿宋" w:hAnsi="仿宋"/>
              <w:sz w:val="28"/>
            </w:rPr>
            <w:instrText xml:space="preserve"> PAGEREF _Toc129926116 \h </w:instrText>
          </w:r>
          <w:r>
            <w:rPr>
              <w:rFonts w:ascii="仿宋" w:hAnsi="仿宋"/>
              <w:sz w:val="28"/>
            </w:rPr>
            <w:fldChar w:fldCharType="separate"/>
          </w:r>
          <w:r>
            <w:rPr>
              <w:rFonts w:ascii="仿宋" w:hAnsi="仿宋"/>
              <w:sz w:val="28"/>
            </w:rPr>
            <w:t>48</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"_Toc129926117" </w:instrText>
          </w:r>
          <w:r>
            <w:fldChar w:fldCharType="separate"/>
          </w:r>
          <w:r>
            <w:rPr>
              <w:rStyle w:val="17"/>
              <w:rFonts w:hint="eastAsia" w:ascii="仿宋" w:hAnsi="仿宋"/>
              <w:sz w:val="28"/>
            </w:rPr>
            <w:t>第一节</w:t>
          </w:r>
          <w:r>
            <w:rPr>
              <w:rStyle w:val="17"/>
              <w:rFonts w:ascii="仿宋" w:hAnsi="仿宋"/>
              <w:sz w:val="28"/>
            </w:rPr>
            <w:t xml:space="preserve"> </w:t>
          </w:r>
          <w:r>
            <w:rPr>
              <w:rStyle w:val="17"/>
              <w:rFonts w:hint="eastAsia" w:ascii="仿宋" w:hAnsi="仿宋"/>
              <w:sz w:val="28"/>
            </w:rPr>
            <w:t>加强组织领导，强化责任落实</w:t>
          </w:r>
          <w:r>
            <w:rPr>
              <w:rFonts w:ascii="仿宋" w:hAnsi="仿宋"/>
              <w:sz w:val="28"/>
            </w:rPr>
            <w:tab/>
          </w:r>
          <w:r>
            <w:rPr>
              <w:rFonts w:ascii="仿宋" w:hAnsi="仿宋"/>
              <w:sz w:val="28"/>
            </w:rPr>
            <w:fldChar w:fldCharType="begin"/>
          </w:r>
          <w:r>
            <w:rPr>
              <w:rFonts w:ascii="仿宋" w:hAnsi="仿宋"/>
              <w:sz w:val="28"/>
            </w:rPr>
            <w:instrText xml:space="preserve"> PAGEREF _Toc129926117 \h </w:instrText>
          </w:r>
          <w:r>
            <w:rPr>
              <w:rFonts w:ascii="仿宋" w:hAnsi="仿宋"/>
              <w:sz w:val="28"/>
            </w:rPr>
            <w:fldChar w:fldCharType="separate"/>
          </w:r>
          <w:r>
            <w:rPr>
              <w:rFonts w:ascii="仿宋" w:hAnsi="仿宋"/>
              <w:sz w:val="28"/>
            </w:rPr>
            <w:t>48</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"_Toc129926118" </w:instrText>
          </w:r>
          <w:r>
            <w:fldChar w:fldCharType="separate"/>
          </w:r>
          <w:r>
            <w:rPr>
              <w:rStyle w:val="17"/>
              <w:rFonts w:hint="eastAsia" w:ascii="仿宋" w:hAnsi="仿宋"/>
              <w:sz w:val="28"/>
            </w:rPr>
            <w:t>第二节</w:t>
          </w:r>
          <w:r>
            <w:rPr>
              <w:rStyle w:val="17"/>
              <w:rFonts w:ascii="仿宋" w:hAnsi="仿宋"/>
              <w:sz w:val="28"/>
            </w:rPr>
            <w:t xml:space="preserve"> </w:t>
          </w:r>
          <w:r>
            <w:rPr>
              <w:rStyle w:val="17"/>
              <w:rFonts w:hint="eastAsia" w:ascii="仿宋" w:hAnsi="仿宋"/>
              <w:sz w:val="28"/>
            </w:rPr>
            <w:t>统筹资金安排，保障资金投入</w:t>
          </w:r>
          <w:r>
            <w:rPr>
              <w:rFonts w:ascii="仿宋" w:hAnsi="仿宋"/>
              <w:sz w:val="28"/>
            </w:rPr>
            <w:tab/>
          </w:r>
          <w:r>
            <w:rPr>
              <w:rFonts w:ascii="仿宋" w:hAnsi="仿宋"/>
              <w:sz w:val="28"/>
            </w:rPr>
            <w:fldChar w:fldCharType="begin"/>
          </w:r>
          <w:r>
            <w:rPr>
              <w:rFonts w:ascii="仿宋" w:hAnsi="仿宋"/>
              <w:sz w:val="28"/>
            </w:rPr>
            <w:instrText xml:space="preserve"> PAGEREF _Toc129926118 \h </w:instrText>
          </w:r>
          <w:r>
            <w:rPr>
              <w:rFonts w:ascii="仿宋" w:hAnsi="仿宋"/>
              <w:sz w:val="28"/>
            </w:rPr>
            <w:fldChar w:fldCharType="separate"/>
          </w:r>
          <w:r>
            <w:rPr>
              <w:rFonts w:ascii="仿宋" w:hAnsi="仿宋"/>
              <w:sz w:val="28"/>
            </w:rPr>
            <w:t>48</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"_Toc129926119" </w:instrText>
          </w:r>
          <w:r>
            <w:fldChar w:fldCharType="separate"/>
          </w:r>
          <w:r>
            <w:rPr>
              <w:rStyle w:val="17"/>
              <w:rFonts w:hint="eastAsia" w:ascii="仿宋" w:hAnsi="仿宋"/>
              <w:sz w:val="28"/>
            </w:rPr>
            <w:t>第三节</w:t>
          </w:r>
          <w:r>
            <w:rPr>
              <w:rStyle w:val="17"/>
              <w:rFonts w:ascii="仿宋" w:hAnsi="仿宋"/>
              <w:sz w:val="28"/>
            </w:rPr>
            <w:t xml:space="preserve"> </w:t>
          </w:r>
          <w:r>
            <w:rPr>
              <w:rStyle w:val="17"/>
              <w:rFonts w:hint="eastAsia" w:ascii="仿宋" w:hAnsi="仿宋"/>
              <w:sz w:val="28"/>
            </w:rPr>
            <w:t>科学精准治污，加强技术保障</w:t>
          </w:r>
          <w:r>
            <w:rPr>
              <w:rFonts w:ascii="仿宋" w:hAnsi="仿宋"/>
              <w:sz w:val="28"/>
            </w:rPr>
            <w:tab/>
          </w:r>
          <w:r>
            <w:rPr>
              <w:rFonts w:ascii="仿宋" w:hAnsi="仿宋"/>
              <w:sz w:val="28"/>
            </w:rPr>
            <w:fldChar w:fldCharType="begin"/>
          </w:r>
          <w:r>
            <w:rPr>
              <w:rFonts w:ascii="仿宋" w:hAnsi="仿宋"/>
              <w:sz w:val="28"/>
            </w:rPr>
            <w:instrText xml:space="preserve"> PAGEREF _Toc129926119 \h </w:instrText>
          </w:r>
          <w:r>
            <w:rPr>
              <w:rFonts w:ascii="仿宋" w:hAnsi="仿宋"/>
              <w:sz w:val="28"/>
            </w:rPr>
            <w:fldChar w:fldCharType="separate"/>
          </w:r>
          <w:r>
            <w:rPr>
              <w:rFonts w:ascii="仿宋" w:hAnsi="仿宋"/>
              <w:sz w:val="28"/>
            </w:rPr>
            <w:t>49</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仿宋" w:hAnsi="仿宋"/>
              <w:sz w:val="20"/>
            </w:rPr>
          </w:pPr>
          <w:r>
            <w:fldChar w:fldCharType="begin"/>
          </w:r>
          <w:r>
            <w:instrText xml:space="preserve"> HYPERLINK \l "_Toc129926120" </w:instrText>
          </w:r>
          <w:r>
            <w:fldChar w:fldCharType="separate"/>
          </w:r>
          <w:r>
            <w:rPr>
              <w:rStyle w:val="17"/>
              <w:rFonts w:hint="eastAsia" w:ascii="仿宋" w:hAnsi="仿宋"/>
              <w:sz w:val="28"/>
            </w:rPr>
            <w:t>第四节</w:t>
          </w:r>
          <w:r>
            <w:rPr>
              <w:rStyle w:val="17"/>
              <w:rFonts w:ascii="仿宋" w:hAnsi="仿宋"/>
              <w:sz w:val="28"/>
            </w:rPr>
            <w:t xml:space="preserve"> </w:t>
          </w:r>
          <w:r>
            <w:rPr>
              <w:rStyle w:val="17"/>
              <w:rFonts w:hint="eastAsia" w:ascii="仿宋" w:hAnsi="仿宋"/>
              <w:sz w:val="28"/>
            </w:rPr>
            <w:t>实施考核评估，建立激励机制</w:t>
          </w:r>
          <w:r>
            <w:rPr>
              <w:rFonts w:ascii="仿宋" w:hAnsi="仿宋"/>
              <w:sz w:val="28"/>
            </w:rPr>
            <w:tab/>
          </w:r>
          <w:r>
            <w:rPr>
              <w:rFonts w:ascii="仿宋" w:hAnsi="仿宋"/>
              <w:sz w:val="28"/>
            </w:rPr>
            <w:fldChar w:fldCharType="begin"/>
          </w:r>
          <w:r>
            <w:rPr>
              <w:rFonts w:ascii="仿宋" w:hAnsi="仿宋"/>
              <w:sz w:val="28"/>
            </w:rPr>
            <w:instrText xml:space="preserve"> PAGEREF _Toc129926120 \h </w:instrText>
          </w:r>
          <w:r>
            <w:rPr>
              <w:rFonts w:ascii="仿宋" w:hAnsi="仿宋"/>
              <w:sz w:val="28"/>
            </w:rPr>
            <w:fldChar w:fldCharType="separate"/>
          </w:r>
          <w:r>
            <w:rPr>
              <w:rFonts w:ascii="仿宋" w:hAnsi="仿宋"/>
              <w:sz w:val="28"/>
            </w:rPr>
            <w:t>49</w:t>
          </w:r>
          <w:r>
            <w:rPr>
              <w:rFonts w:ascii="仿宋" w:hAnsi="仿宋"/>
              <w:sz w:val="28"/>
            </w:rPr>
            <w:fldChar w:fldCharType="end"/>
          </w:r>
          <w:r>
            <w:rPr>
              <w:rFonts w:ascii="仿宋" w:hAnsi="仿宋"/>
              <w:sz w:val="28"/>
            </w:rPr>
            <w:fldChar w:fldCharType="end"/>
          </w:r>
        </w:p>
        <w:p>
          <w:pPr>
            <w:pStyle w:val="12"/>
            <w:tabs>
              <w:tab w:val="right" w:leader="dot" w:pos="8296"/>
            </w:tabs>
            <w:snapToGrid w:val="0"/>
            <w:spacing w:line="300" w:lineRule="auto"/>
            <w:ind w:left="640" w:firstLine="560"/>
            <w:rPr>
              <w:rFonts w:asciiTheme="minorHAnsi" w:hAnsiTheme="minorHAnsi" w:eastAsiaTheme="minorEastAsia"/>
              <w:sz w:val="21"/>
            </w:rPr>
          </w:pPr>
          <w:r>
            <w:fldChar w:fldCharType="begin"/>
          </w:r>
          <w:r>
            <w:instrText xml:space="preserve"> HYPERLINK \l "_Toc129926121" </w:instrText>
          </w:r>
          <w:r>
            <w:fldChar w:fldCharType="separate"/>
          </w:r>
          <w:r>
            <w:rPr>
              <w:rStyle w:val="17"/>
              <w:rFonts w:hint="eastAsia" w:ascii="仿宋" w:hAnsi="仿宋"/>
              <w:sz w:val="28"/>
            </w:rPr>
            <w:t>第五节</w:t>
          </w:r>
          <w:r>
            <w:rPr>
              <w:rStyle w:val="17"/>
              <w:rFonts w:ascii="仿宋" w:hAnsi="仿宋"/>
              <w:sz w:val="28"/>
            </w:rPr>
            <w:t xml:space="preserve"> </w:t>
          </w:r>
          <w:r>
            <w:rPr>
              <w:rStyle w:val="17"/>
              <w:rFonts w:hint="eastAsia" w:ascii="仿宋" w:hAnsi="仿宋"/>
              <w:sz w:val="28"/>
            </w:rPr>
            <w:t>广泛宣传引导</w:t>
          </w:r>
          <w:r>
            <w:rPr>
              <w:rStyle w:val="17"/>
              <w:rFonts w:ascii="仿宋" w:hAnsi="仿宋"/>
              <w:sz w:val="28"/>
            </w:rPr>
            <w:t xml:space="preserve"> </w:t>
          </w:r>
          <w:r>
            <w:rPr>
              <w:rStyle w:val="17"/>
              <w:rFonts w:hint="eastAsia" w:ascii="仿宋" w:hAnsi="仿宋"/>
              <w:sz w:val="28"/>
            </w:rPr>
            <w:t>动员社会监督</w:t>
          </w:r>
          <w:r>
            <w:rPr>
              <w:rFonts w:ascii="仿宋" w:hAnsi="仿宋"/>
              <w:sz w:val="28"/>
            </w:rPr>
            <w:tab/>
          </w:r>
          <w:r>
            <w:rPr>
              <w:rFonts w:ascii="仿宋" w:hAnsi="仿宋"/>
              <w:sz w:val="28"/>
            </w:rPr>
            <w:fldChar w:fldCharType="begin"/>
          </w:r>
          <w:r>
            <w:rPr>
              <w:rFonts w:ascii="仿宋" w:hAnsi="仿宋"/>
              <w:sz w:val="28"/>
            </w:rPr>
            <w:instrText xml:space="preserve"> PAGEREF _Toc129926121 \h </w:instrText>
          </w:r>
          <w:r>
            <w:rPr>
              <w:rFonts w:ascii="仿宋" w:hAnsi="仿宋"/>
              <w:sz w:val="28"/>
            </w:rPr>
            <w:fldChar w:fldCharType="separate"/>
          </w:r>
          <w:r>
            <w:rPr>
              <w:rFonts w:ascii="仿宋" w:hAnsi="仿宋"/>
              <w:sz w:val="28"/>
            </w:rPr>
            <w:t>50</w:t>
          </w:r>
          <w:r>
            <w:rPr>
              <w:rFonts w:ascii="仿宋" w:hAnsi="仿宋"/>
              <w:sz w:val="28"/>
            </w:rPr>
            <w:fldChar w:fldCharType="end"/>
          </w:r>
          <w:r>
            <w:rPr>
              <w:rFonts w:ascii="仿宋" w:hAnsi="仿宋"/>
              <w:sz w:val="28"/>
            </w:rPr>
            <w:fldChar w:fldCharType="end"/>
          </w:r>
        </w:p>
        <w:p>
          <w:pPr>
            <w:adjustRightInd w:val="0"/>
            <w:snapToGrid w:val="0"/>
            <w:ind w:firstLine="560"/>
            <w:rPr>
              <w:sz w:val="28"/>
              <w:szCs w:val="28"/>
            </w:rPr>
          </w:pPr>
          <w:r>
            <w:rPr>
              <w:sz w:val="28"/>
              <w:szCs w:val="28"/>
            </w:rPr>
            <w:fldChar w:fldCharType="end"/>
          </w:r>
        </w:p>
      </w:sdtContent>
    </w:sdt>
    <w:p>
      <w:pPr>
        <w:ind w:firstLine="643"/>
        <w:jc w:val="center"/>
        <w:rPr>
          <w:b/>
        </w:rPr>
      </w:pPr>
    </w:p>
    <w:p>
      <w:pPr>
        <w:ind w:firstLine="643"/>
        <w:jc w:val="center"/>
        <w:rPr>
          <w:b/>
        </w:rPr>
        <w:sectPr>
          <w:pgSz w:w="11906" w:h="16838"/>
          <w:pgMar w:top="1440" w:right="1800" w:bottom="1440" w:left="1800" w:header="851" w:footer="992" w:gutter="0"/>
          <w:pgNumType w:fmt="upperRoman" w:start="1"/>
          <w:cols w:space="425" w:num="1"/>
          <w:docGrid w:type="lines" w:linePitch="312" w:charSpace="0"/>
        </w:sectPr>
      </w:pPr>
    </w:p>
    <w:p>
      <w:pPr>
        <w:ind w:firstLine="640"/>
        <w:rPr>
          <w:kern w:val="0"/>
        </w:rPr>
      </w:pPr>
      <w:r>
        <w:rPr>
          <w:rFonts w:hint="eastAsia"/>
          <w:kern w:val="0"/>
        </w:rPr>
        <w:t>《靖宇县生态环境保护“十四五”规划》</w:t>
      </w:r>
      <w:r>
        <w:rPr>
          <w:kern w:val="0"/>
        </w:rPr>
        <w:t>以《吉林省生态环境保</w:t>
      </w:r>
      <w:r>
        <w:rPr>
          <w:rFonts w:hint="eastAsia"/>
          <w:kern w:val="0"/>
        </w:rPr>
        <w:t>护“十四五”</w:t>
      </w:r>
      <w:r>
        <w:rPr>
          <w:kern w:val="0"/>
        </w:rPr>
        <w:t>规划》《</w:t>
      </w:r>
      <w:r>
        <w:rPr>
          <w:rFonts w:hint="eastAsia"/>
          <w:kern w:val="0"/>
        </w:rPr>
        <w:t>白山</w:t>
      </w:r>
      <w:r>
        <w:rPr>
          <w:kern w:val="0"/>
        </w:rPr>
        <w:t>市生态环境保</w:t>
      </w:r>
      <w:r>
        <w:rPr>
          <w:rFonts w:hint="eastAsia"/>
          <w:kern w:val="0"/>
        </w:rPr>
        <w:t>护“十四五”规</w:t>
      </w:r>
      <w:r>
        <w:rPr>
          <w:kern w:val="0"/>
        </w:rPr>
        <w:t>划》《</w:t>
      </w:r>
      <w:r>
        <w:rPr>
          <w:rFonts w:hint="eastAsia"/>
          <w:kern w:val="0"/>
        </w:rPr>
        <w:t>靖宇县国民经济和社会发展第十四个五年规划和2035年远景目标纲要</w:t>
      </w:r>
      <w:r>
        <w:rPr>
          <w:kern w:val="0"/>
        </w:rPr>
        <w:t>》为依据，主要总结</w:t>
      </w:r>
      <w:r>
        <w:rPr>
          <w:rFonts w:hint="eastAsia"/>
          <w:kern w:val="0"/>
        </w:rPr>
        <w:t>“十三五”时期全县生态环境保护工作的成效，分析新形势下生态环境保护面临的机遇与挑战，</w:t>
      </w:r>
      <w:r>
        <w:rPr>
          <w:kern w:val="0"/>
        </w:rPr>
        <w:t>阐明全</w:t>
      </w:r>
      <w:r>
        <w:rPr>
          <w:rFonts w:hint="eastAsia"/>
          <w:kern w:val="0"/>
        </w:rPr>
        <w:t>县“十四五”时期生态</w:t>
      </w:r>
      <w:r>
        <w:rPr>
          <w:kern w:val="0"/>
        </w:rPr>
        <w:t>环境保护的总体思路、发展目标和战略任务。</w:t>
      </w:r>
      <w:r>
        <w:rPr>
          <w:rFonts w:hint="eastAsia"/>
          <w:kern w:val="0"/>
        </w:rPr>
        <w:t>以习近平总书记视察吉林重要讲话为统领，严格按照吉林省“一主六双”高质量发展战略要求，坚持绿色发展，突出生态文明建设优先地位，奋力实践“两山”理念新发展，进一步完善生态保护治理、绿色产业培育，实现在保护中发展、在发展中保护，</w:t>
      </w:r>
      <w:r>
        <w:rPr>
          <w:kern w:val="0"/>
        </w:rPr>
        <w:t>为加快</w:t>
      </w:r>
      <w:r>
        <w:rPr>
          <w:bCs/>
          <w:kern w:val="0"/>
        </w:rPr>
        <w:t>吉林省绿色转型发展示范区</w:t>
      </w:r>
      <w:r>
        <w:rPr>
          <w:kern w:val="0"/>
        </w:rPr>
        <w:t>建设和生态强省建设贡献靖宇力量。</w:t>
      </w:r>
    </w:p>
    <w:p>
      <w:pPr>
        <w:pStyle w:val="2"/>
        <w:pageBreakBefore/>
        <w:ind w:firstLine="0" w:firstLineChars="0"/>
      </w:pPr>
      <w:bookmarkStart w:id="0" w:name="_Toc129926071"/>
      <w:r>
        <w:t>第一章</w:t>
      </w:r>
      <w:r>
        <w:rPr>
          <w:rFonts w:hint="eastAsia"/>
        </w:rPr>
        <w:t xml:space="preserve"> 规划背景</w:t>
      </w:r>
      <w:bookmarkEnd w:id="0"/>
    </w:p>
    <w:p>
      <w:pPr>
        <w:pStyle w:val="3"/>
        <w:ind w:firstLine="643"/>
      </w:pPr>
      <w:bookmarkStart w:id="1" w:name="_Toc129926072"/>
      <w:r>
        <w:rPr>
          <w:rFonts w:hint="eastAsia"/>
        </w:rPr>
        <w:t>第一节 “十三五”生态环境保护主要成效</w:t>
      </w:r>
      <w:bookmarkEnd w:id="1"/>
    </w:p>
    <w:p>
      <w:pPr>
        <w:ind w:firstLine="640"/>
        <w:rPr>
          <w:rFonts w:cs="Times New Roman"/>
        </w:rPr>
      </w:pPr>
      <w:r>
        <w:rPr>
          <w:rFonts w:hint="eastAsia" w:cs="Times New Roman"/>
        </w:rPr>
        <w:t>“十三五”期</w:t>
      </w:r>
      <w:r>
        <w:rPr>
          <w:rFonts w:cs="Times New Roman"/>
        </w:rPr>
        <w:t>间，在</w:t>
      </w:r>
      <w:r>
        <w:rPr>
          <w:rFonts w:hint="eastAsia" w:cs="Times New Roman"/>
        </w:rPr>
        <w:t>县委、</w:t>
      </w:r>
      <w:r>
        <w:rPr>
          <w:rFonts w:cs="Times New Roman"/>
        </w:rPr>
        <w:t>县政府的有力领导下，</w:t>
      </w:r>
      <w:r>
        <w:rPr>
          <w:rFonts w:hint="eastAsia" w:cs="Times New Roman"/>
        </w:rPr>
        <w:t>靖宇县</w:t>
      </w:r>
      <w:r>
        <w:rPr>
          <w:rFonts w:cs="Times New Roman"/>
        </w:rPr>
        <w:t>生态环境保护工作坚持深入学习贯彻习近平生态文明思想，牢固树立</w:t>
      </w:r>
      <w:r>
        <w:rPr>
          <w:rFonts w:hint="eastAsia" w:cs="Times New Roman"/>
        </w:rPr>
        <w:t>“绿水青山就是金山银山，冰天雪地也是金山银山”的</w:t>
      </w:r>
      <w:r>
        <w:rPr>
          <w:rFonts w:cs="Times New Roman"/>
        </w:rPr>
        <w:t>发展理念，以生态文明建设为主线，全面落实省委省政府</w:t>
      </w:r>
      <w:r>
        <w:rPr>
          <w:rFonts w:hint="eastAsia" w:cs="Times New Roman"/>
        </w:rPr>
        <w:t>、</w:t>
      </w:r>
      <w:r>
        <w:rPr>
          <w:rFonts w:cs="Times New Roman"/>
        </w:rPr>
        <w:t>市委市政府关于打好打赢污染防治攻坚战的实施意见，深入开展环保督察案件办理及反馈问题整改，全面打响“蓝天、碧水、净土、青山保卫战”，高质量保持</w:t>
      </w:r>
      <w:r>
        <w:rPr>
          <w:rFonts w:hint="eastAsia" w:cs="Times New Roman"/>
        </w:rPr>
        <w:t>“中国第一矿泉城”称</w:t>
      </w:r>
      <w:r>
        <w:rPr>
          <w:rFonts w:cs="Times New Roman"/>
        </w:rPr>
        <w:t>号，生态环境保护工作取得了较好的成绩。</w:t>
      </w:r>
    </w:p>
    <w:p>
      <w:pPr>
        <w:ind w:firstLine="643"/>
        <w:rPr>
          <w:rFonts w:ascii="楷体" w:hAnsi="楷体" w:eastAsia="楷体" w:cs="Times New Roman"/>
        </w:rPr>
      </w:pPr>
      <w:r>
        <w:rPr>
          <w:rFonts w:hint="eastAsia" w:ascii="仿宋" w:hAnsi="仿宋" w:cs="Times New Roman"/>
          <w:b/>
        </w:rPr>
        <w:t>（一）</w:t>
      </w:r>
      <w:r>
        <w:rPr>
          <w:rFonts w:ascii="仿宋" w:hAnsi="仿宋" w:cs="Times New Roman"/>
          <w:b/>
        </w:rPr>
        <w:t>生态环境质量持续改善</w:t>
      </w:r>
    </w:p>
    <w:p>
      <w:pPr>
        <w:ind w:firstLine="640"/>
        <w:rPr>
          <w:rFonts w:cs="Times New Roman"/>
        </w:rPr>
      </w:pPr>
      <w:r>
        <w:rPr>
          <w:rFonts w:hint="eastAsia" w:cs="Times New Roman"/>
        </w:rPr>
        <w:t>“十三五”期间，靖宇县</w:t>
      </w:r>
      <w:r>
        <w:rPr>
          <w:rFonts w:cs="Times New Roman"/>
        </w:rPr>
        <w:t>环境空气质量主要指标达到了《环境空气质量标准》（GB3095</w:t>
      </w:r>
      <w:r>
        <w:rPr>
          <w:rFonts w:hint="eastAsia" w:cs="Times New Roman"/>
        </w:rPr>
        <w:t>-2012</w:t>
      </w:r>
      <w:r>
        <w:rPr>
          <w:rFonts w:cs="Times New Roman"/>
        </w:rPr>
        <w:t>）中的二级标准</w:t>
      </w:r>
      <w:r>
        <w:rPr>
          <w:rFonts w:hint="eastAsia" w:cs="Times New Roman"/>
        </w:rPr>
        <w:t>，县区环境空气质量持续改善，SO</w:t>
      </w:r>
      <w:r>
        <w:rPr>
          <w:rFonts w:hint="eastAsia" w:cs="Times New Roman"/>
          <w:vertAlign w:val="subscript"/>
        </w:rPr>
        <w:t>2</w:t>
      </w:r>
      <w:r>
        <w:rPr>
          <w:rFonts w:hint="eastAsia" w:cs="Times New Roman"/>
        </w:rPr>
        <w:t>、NO</w:t>
      </w:r>
      <w:r>
        <w:rPr>
          <w:rFonts w:hint="eastAsia" w:cs="Times New Roman"/>
          <w:vertAlign w:val="subscript"/>
        </w:rPr>
        <w:t>2</w:t>
      </w:r>
      <w:r>
        <w:rPr>
          <w:rFonts w:hint="eastAsia" w:cs="Times New Roman"/>
        </w:rPr>
        <w:t>、PM</w:t>
      </w:r>
      <w:r>
        <w:rPr>
          <w:rFonts w:hint="eastAsia" w:cs="Times New Roman"/>
          <w:vertAlign w:val="subscript"/>
        </w:rPr>
        <w:t>10</w:t>
      </w:r>
      <w:r>
        <w:rPr>
          <w:rFonts w:hint="eastAsia" w:cs="Times New Roman"/>
        </w:rPr>
        <w:t>、PM</w:t>
      </w:r>
      <w:r>
        <w:rPr>
          <w:rFonts w:hint="eastAsia" w:cs="Times New Roman"/>
          <w:vertAlign w:val="subscript"/>
        </w:rPr>
        <w:t>2.5</w:t>
      </w:r>
      <w:r>
        <w:rPr>
          <w:rFonts w:hint="eastAsia" w:cs="Times New Roman"/>
        </w:rPr>
        <w:t>、O</w:t>
      </w:r>
      <w:r>
        <w:rPr>
          <w:rFonts w:hint="eastAsia" w:cs="Times New Roman"/>
          <w:vertAlign w:val="subscript"/>
        </w:rPr>
        <w:t>3</w:t>
      </w:r>
      <w:r>
        <w:rPr>
          <w:rFonts w:hint="eastAsia" w:cs="Times New Roman"/>
        </w:rPr>
        <w:t>、CO等污染物浓度年均值逐年降低且降幅明显，空气环境质量优良天数比例逐年上升。2020年，全县优良天数比例高达98.4%，细颗粒物（PM</w:t>
      </w:r>
      <w:r>
        <w:rPr>
          <w:rFonts w:hint="eastAsia" w:cs="Times New Roman"/>
          <w:vertAlign w:val="subscript"/>
        </w:rPr>
        <w:t>2.5</w:t>
      </w:r>
      <w:r>
        <w:rPr>
          <w:rFonts w:hint="eastAsia" w:cs="Times New Roman"/>
        </w:rPr>
        <w:t>）年均浓度仅为22.82微克/立方米。</w:t>
      </w:r>
    </w:p>
    <w:p>
      <w:pPr>
        <w:ind w:firstLine="640"/>
        <w:rPr>
          <w:rFonts w:cs="Times New Roman"/>
        </w:rPr>
      </w:pPr>
      <w:r>
        <w:rPr>
          <w:rFonts w:hint="eastAsia" w:cs="Times New Roman"/>
        </w:rPr>
        <w:t>“十三五”期间，靖宇县集中式饮用水源地水质优良比例为100%；境内</w:t>
      </w:r>
      <w:r>
        <w:rPr>
          <w:rFonts w:cs="Times New Roman"/>
        </w:rPr>
        <w:t>主要水体水环境功能区</w:t>
      </w:r>
      <w:r>
        <w:rPr>
          <w:rFonts w:hint="eastAsia" w:cs="Times New Roman"/>
          <w:bCs/>
        </w:rPr>
        <w:t>水域环境明显改善且</w:t>
      </w:r>
      <w:r>
        <w:rPr>
          <w:rFonts w:cs="Times New Roman"/>
        </w:rPr>
        <w:t>达标</w:t>
      </w:r>
      <w:r>
        <w:rPr>
          <w:rFonts w:hint="eastAsia" w:cs="Times New Roman"/>
        </w:rPr>
        <w:t>，监测河流水质优良（达到或优于</w:t>
      </w:r>
      <w:r>
        <w:rPr>
          <w:rFonts w:cs="Times New Roman"/>
        </w:rPr>
        <w:t>Ⅲ类</w:t>
      </w:r>
      <w:r>
        <w:rPr>
          <w:rFonts w:hint="eastAsia" w:cs="Times New Roman"/>
        </w:rPr>
        <w:t>）比例达到100%</w:t>
      </w:r>
      <w:r>
        <w:rPr>
          <w:rFonts w:cs="Times New Roman"/>
        </w:rPr>
        <w:t>。</w:t>
      </w:r>
    </w:p>
    <w:p>
      <w:pPr>
        <w:ind w:firstLine="640"/>
        <w:rPr>
          <w:rFonts w:cs="Times New Roman"/>
        </w:rPr>
      </w:pPr>
      <w:r>
        <w:rPr>
          <w:rFonts w:hint="eastAsia" w:cs="Times New Roman"/>
        </w:rPr>
        <w:t>“十三五”期间，全县城市区域声环境质量总体水平保持稳定，达标率为100%，全县城市区域噪声环境质量呈不断改善的趋势。主要声源仍以交通噪声和生活噪声为主。</w:t>
      </w:r>
    </w:p>
    <w:p>
      <w:pPr>
        <w:ind w:firstLine="640"/>
        <w:rPr>
          <w:rFonts w:cs="Times New Roman"/>
        </w:rPr>
      </w:pPr>
      <w:r>
        <w:rPr>
          <w:rFonts w:hint="eastAsia" w:cs="Times New Roman"/>
        </w:rPr>
        <w:t>“十三五”期间，靖宇县土壤环境质量总体保持稳定，受污染耕地安全利用率、污染地块安全利用率均达到90%以上。</w:t>
      </w:r>
    </w:p>
    <w:p>
      <w:pPr>
        <w:ind w:firstLine="643"/>
        <w:rPr>
          <w:rFonts w:ascii="仿宋" w:hAnsi="仿宋" w:cs="Times New Roman"/>
          <w:b/>
        </w:rPr>
      </w:pPr>
      <w:r>
        <w:rPr>
          <w:rFonts w:hint="eastAsia" w:ascii="仿宋" w:hAnsi="仿宋" w:cs="Times New Roman"/>
          <w:b/>
        </w:rPr>
        <w:t>（二）全面完成环保督察整改任务</w:t>
      </w:r>
    </w:p>
    <w:p>
      <w:pPr>
        <w:ind w:firstLine="640"/>
        <w:rPr>
          <w:rFonts w:ascii="仿宋" w:hAnsi="仿宋" w:cs="Times New Roman"/>
        </w:rPr>
      </w:pPr>
      <w:r>
        <w:rPr>
          <w:rFonts w:hint="eastAsia" w:ascii="仿宋" w:hAnsi="仿宋" w:cs="Times New Roman"/>
        </w:rPr>
        <w:t>2017年以来，全县接到中央环保督察、中央生态环保督察“回头看”、省级生态环保督察、环保督察信访件共计134项整改任务。其中：中央环保督察21项任务，完成整改21项；“回头看”6项任务，完成整改6项；省级督察25项任务，完成整改25项；环保督察交办信访案件共82件，完成82件。生态环保督察问题整改工作取得明显成效，整改完成率100%。</w:t>
      </w:r>
    </w:p>
    <w:p>
      <w:pPr>
        <w:ind w:firstLine="643"/>
        <w:rPr>
          <w:rFonts w:ascii="仿宋" w:hAnsi="仿宋" w:cs="Times New Roman"/>
          <w:b/>
        </w:rPr>
      </w:pPr>
      <w:r>
        <w:rPr>
          <w:rFonts w:hint="eastAsia" w:ascii="仿宋" w:hAnsi="仿宋" w:cs="Times New Roman"/>
          <w:b/>
        </w:rPr>
        <w:t>（三）</w:t>
      </w:r>
      <w:r>
        <w:rPr>
          <w:rFonts w:ascii="仿宋" w:hAnsi="仿宋" w:cs="Times New Roman"/>
          <w:b/>
        </w:rPr>
        <w:t>污染防治攻坚战成果丰硕</w:t>
      </w:r>
    </w:p>
    <w:p>
      <w:pPr>
        <w:ind w:firstLine="643"/>
      </w:pPr>
      <w:r>
        <w:rPr>
          <w:b/>
          <w:szCs w:val="32"/>
        </w:rPr>
        <w:t>蓝天保卫战方面</w:t>
      </w:r>
      <w:r>
        <w:rPr>
          <w:rFonts w:hint="eastAsia"/>
          <w:b/>
          <w:szCs w:val="32"/>
        </w:rPr>
        <w:t>：</w:t>
      </w:r>
      <w:r>
        <w:rPr>
          <w:rFonts w:hint="eastAsia"/>
          <w:szCs w:val="32"/>
        </w:rPr>
        <w:t>从大型燃煤锅炉综合整治、淘汰县级城市建成区燃煤小锅炉、高排放车辆更新淘汰，秸秆禁烧等多方面开展“一微克”行动计划。</w:t>
      </w:r>
      <w:r>
        <w:rPr>
          <w:szCs w:val="32"/>
        </w:rPr>
        <w:t>累计淘汰建</w:t>
      </w:r>
      <w:r>
        <w:t>成区内10蒸吨及以下燃煤小锅炉</w:t>
      </w:r>
      <w:r>
        <w:rPr>
          <w:rFonts w:hint="eastAsia"/>
        </w:rPr>
        <w:t>38</w:t>
      </w:r>
      <w:r>
        <w:t>台</w:t>
      </w:r>
      <w:r>
        <w:rPr>
          <w:rFonts w:hint="eastAsia"/>
        </w:rPr>
        <w:t>。制定《靖宇县落实柴油货车污染治理攻坚行动计划实施方案》，生态环境、公安、交通运输等部门联合开展机动车联合路检路查，合计监督抽测柴油车300台次。对非道路移动机械进行摸底调查合编码登记工作，审核通过32台次非道路移动机械设备。柴油车（机）排气管口冒黑烟现象基本消除，全县柴油和车用尿素抽检合格率达到95%以上，违法生产销售假劣油品现象基本消除。制定了《秸秆禁烧监管工作方案》《秸秆离田实施方案》《秸秆限烧区计划烧除工作方案》《靖宇县秸秆禁烧监管巡查方案》等方案，成立领导小组，生态环境部门与公安部门联合成立3个巡察组，对辖区内8个乡镇秸秆禁烧工作进行全面巡察。</w:t>
      </w:r>
    </w:p>
    <w:p>
      <w:pPr>
        <w:pStyle w:val="5"/>
        <w:ind w:firstLine="643"/>
      </w:pPr>
      <w:r>
        <w:rPr>
          <w:b/>
        </w:rPr>
        <w:t>碧水保卫战方面</w:t>
      </w:r>
      <w:r>
        <w:rPr>
          <w:rFonts w:hint="eastAsia"/>
          <w:b/>
        </w:rPr>
        <w:t>：</w:t>
      </w:r>
      <w:r>
        <w:t>按照省、市要求全面推行河长制工作，全面建立了以县、乡、村三级</w:t>
      </w:r>
      <w:r>
        <w:rPr>
          <w:rFonts w:hint="eastAsia"/>
        </w:rPr>
        <w:t>的“河长制”</w:t>
      </w:r>
      <w:r>
        <w:t>组织体系</w:t>
      </w:r>
      <w:r>
        <w:rPr>
          <w:rFonts w:hint="eastAsia"/>
        </w:rPr>
        <w:t>。对全县入河排污口进行全面排查，累计排查各类入河排污口193个，对排查的入河排污口全部安装了入河排污口标识牌。完成“千吨万人”饮用水水源调查评估和饮用水源保护区划定工作，水质全部达标。开展头道</w:t>
      </w:r>
      <w:r>
        <w:rPr>
          <w:rFonts w:hint="eastAsia"/>
          <w:bCs/>
        </w:rPr>
        <w:t>松花江流域入河排污口专项执法，</w:t>
      </w:r>
      <w:r>
        <w:rPr>
          <w:rFonts w:hint="eastAsia"/>
        </w:rPr>
        <w:t>加强对重点入河排污口的监管，坚决取缔非法排污口，确保合法排污口达标排放。对城区飞龙泉、巨龙泉和农村“千吨万人”饮用水水源地进行专项检查，按照检查出的问题进行清单式分类管理，采取积极有效的治理措施，解决各种问题。</w:t>
      </w:r>
    </w:p>
    <w:p>
      <w:pPr>
        <w:ind w:firstLine="643"/>
      </w:pPr>
      <w:r>
        <w:rPr>
          <w:rFonts w:hint="eastAsia"/>
          <w:b/>
        </w:rPr>
        <w:t>黑土地</w:t>
      </w:r>
      <w:r>
        <w:rPr>
          <w:b/>
        </w:rPr>
        <w:t>保卫战方面</w:t>
      </w:r>
      <w:r>
        <w:rPr>
          <w:rFonts w:hint="eastAsia"/>
          <w:b/>
        </w:rPr>
        <w:t>：</w:t>
      </w:r>
      <w:r>
        <w:rPr>
          <w:rFonts w:hint="eastAsia"/>
        </w:rPr>
        <w:t>完成全县农村生活污水排放与治理现状现场调研工作，</w:t>
      </w:r>
      <w:r>
        <w:rPr>
          <w:rFonts w:hint="eastAsia"/>
          <w:lang w:bidi="zh-CN"/>
        </w:rPr>
        <w:t>获得农村土壤有效监测数据</w:t>
      </w:r>
      <w:r>
        <w:rPr>
          <w:rFonts w:hint="eastAsia"/>
        </w:rPr>
        <w:t>63个，全部达到《土壤环境质量农用地土壤污染风险管控标准（试行）》（GB 15618-2018）规定的限值。农业部门和生态环境部门联合制定并实施受污染耕地安全利用工作方案，完成土壤质量类别划定工作和土壤污染治理与修复成效评估工作方案。截至2020年底，全县共有畜禽规模养殖场27个，粪污处理设施装备配套率达到100%，全县畜禽粪污综合利用率达90.3%。</w:t>
      </w:r>
    </w:p>
    <w:p>
      <w:pPr>
        <w:ind w:firstLine="643"/>
        <w:rPr>
          <w:kern w:val="0"/>
        </w:rPr>
      </w:pPr>
      <w:r>
        <w:rPr>
          <w:b/>
          <w:kern w:val="0"/>
        </w:rPr>
        <w:t>青山保卫战方面</w:t>
      </w:r>
      <w:r>
        <w:rPr>
          <w:rFonts w:hint="eastAsia"/>
          <w:b/>
          <w:kern w:val="0"/>
        </w:rPr>
        <w:t>：</w:t>
      </w:r>
      <w:r>
        <w:rPr>
          <w:rFonts w:hint="eastAsia"/>
          <w:kern w:val="0"/>
        </w:rPr>
        <w:t>开展“绿盾”专项行动，全县收到各类问题1725个，其中国家级自然保护区93个、省级保护区900个、侵占破坏生态环境问题732个，现已全部完成整改，完成率100%。</w:t>
      </w:r>
    </w:p>
    <w:p>
      <w:pPr>
        <w:ind w:firstLine="643"/>
      </w:pPr>
      <w:r>
        <w:rPr>
          <w:b/>
          <w:kern w:val="0"/>
        </w:rPr>
        <w:t>农村人居环境综合整治方面</w:t>
      </w:r>
      <w:r>
        <w:rPr>
          <w:rFonts w:hint="eastAsia"/>
          <w:b/>
          <w:kern w:val="0"/>
        </w:rPr>
        <w:t>：</w:t>
      </w:r>
      <w:r>
        <w:rPr>
          <w:rFonts w:hint="eastAsia"/>
        </w:rPr>
        <w:t>全力打造生态农业新格局，围绕推进农药、化肥“双减半”，组织实施了“退粮进特”“退耕还林”、休耕轮作、有机肥替代化肥等攻坚行动，加快规模化养殖场废弃物处理配套设施建设。2020年联合农业部门在全县8个乡镇共收集、转移农药瓶6.56吨。加强辖区内27家规模化养殖场的环境监管力度。落实畜禽规模养殖环评制度，对未依法进行环境影响评价的、污染治理设施不完善的非法偷排的畜禽规模养殖场依法予以查处。</w:t>
      </w:r>
    </w:p>
    <w:p>
      <w:pPr>
        <w:ind w:firstLine="643"/>
      </w:pPr>
      <w:r>
        <w:rPr>
          <w:b/>
        </w:rPr>
        <w:t>其他污染防防治工作方面</w:t>
      </w:r>
      <w:r>
        <w:rPr>
          <w:rFonts w:hint="eastAsia"/>
          <w:b/>
        </w:rPr>
        <w:t>：</w:t>
      </w:r>
      <w:r>
        <w:rPr>
          <w:rFonts w:hint="eastAsia"/>
        </w:rPr>
        <w:t>固定污染源排污许可工作全面完成，</w:t>
      </w:r>
      <w:r>
        <w:t>排污许可完成率达到100%。完成</w:t>
      </w:r>
      <w:r>
        <w:rPr>
          <w:rFonts w:hint="eastAsia"/>
        </w:rPr>
        <w:t>第二次全国污染源普查工作，及时按要求上报调度的各类信息，数据汇总工作中对数据进行认真审核、分析，及时按要求上报普查汇总数据，数据质量符合质量控制相关规定和要求。国家重点生态功能区县域生态环境质量监测与评价结果保持基本稳定。发布实施《靖宇县生态文明建设示范县建设规划（2017年—2020年）》，生态文明建设示范区创建工作全面启动。</w:t>
      </w:r>
    </w:p>
    <w:p>
      <w:pPr>
        <w:ind w:firstLine="643"/>
        <w:rPr>
          <w:rFonts w:ascii="仿宋" w:hAnsi="仿宋" w:cs="Times New Roman"/>
          <w:b/>
        </w:rPr>
      </w:pPr>
      <w:r>
        <w:rPr>
          <w:rFonts w:hint="eastAsia" w:ascii="仿宋" w:hAnsi="仿宋" w:cs="Times New Roman"/>
          <w:b/>
        </w:rPr>
        <w:t>（四）生态</w:t>
      </w:r>
      <w:r>
        <w:rPr>
          <w:rFonts w:ascii="仿宋" w:hAnsi="仿宋" w:cs="Times New Roman"/>
          <w:b/>
        </w:rPr>
        <w:t>环境保护</w:t>
      </w:r>
      <w:r>
        <w:rPr>
          <w:rFonts w:hint="eastAsia" w:ascii="仿宋" w:hAnsi="仿宋" w:cs="Times New Roman"/>
          <w:b/>
        </w:rPr>
        <w:t>制度</w:t>
      </w:r>
      <w:r>
        <w:rPr>
          <w:rFonts w:ascii="仿宋" w:hAnsi="仿宋" w:cs="Times New Roman"/>
          <w:b/>
        </w:rPr>
        <w:t>体系逐步完善</w:t>
      </w:r>
    </w:p>
    <w:p>
      <w:pPr>
        <w:ind w:firstLine="640"/>
      </w:pPr>
      <w:r>
        <w:rPr>
          <w:rFonts w:hint="eastAsia" w:eastAsia="仿宋_GB2312" w:cs="Times New Roman"/>
          <w:szCs w:val="32"/>
        </w:rPr>
        <w:t>全面完成机构改革、环保“垂改”和综合行政执法改革，生态环境队伍进一步壮大。</w:t>
      </w:r>
      <w:r>
        <w:t>以县人民政府及网站为平台、以阶段性动态工作为切入点加大生态文明理念宣传及水、气等污染防治工作宣传报道力度，报道污染防治及各项工作开展动态。</w:t>
      </w:r>
      <w:r>
        <w:rPr>
          <w:rFonts w:hint="eastAsia"/>
        </w:rPr>
        <w:t>利用世界地球日、世界环境日、吉林生态日等环保相关节日，通过召开座谈会、发放宣传单等形式开展环保政策、法规和相关知识宣传活动。</w:t>
      </w:r>
    </w:p>
    <w:p>
      <w:pPr>
        <w:ind w:firstLine="643"/>
        <w:rPr>
          <w:b/>
        </w:rPr>
      </w:pPr>
      <w:r>
        <w:rPr>
          <w:rFonts w:hint="eastAsia"/>
          <w:b/>
        </w:rPr>
        <w:t>（五）环境安全得到有效维护</w:t>
      </w:r>
    </w:p>
    <w:p>
      <w:pPr>
        <w:ind w:firstLine="640"/>
      </w:pPr>
      <w:r>
        <w:rPr>
          <w:rFonts w:hint="eastAsia"/>
        </w:rPr>
        <w:t>“十三五”期间对全县污染源按时进行双随机抽查，共出动环境监察执法人员3800多人次，对辖区内211户企业进行随机抽查。清理环保不合规建设项目</w:t>
      </w:r>
      <w:r>
        <w:t>117</w:t>
      </w:r>
      <w:r>
        <w:rPr>
          <w:rFonts w:hint="eastAsia"/>
        </w:rPr>
        <w:t>个。完成县城内3家医院医疗废水治理工作。加大对县内5家医疗机构的辐射安全与防护设施运行管理情况、规章制度制定与落实情况的检查监督管理。加大秸秆禁烧巡查力度，印发秸秆禁烧宣传单70000份、条幅16条、禁烧通告300张。辖区内76家企事业单位已完成突发环境事件应急预案修订工作。2017年环保费改税之前，共征收环保排污费34.77万元。查处环境违法行为50项，罚款人民币75.24万元，其中移送司法机关4项、查封扣押12项。处理日常环境信访案件151件、环保督察信访案件167件，已全部处理完毕。</w:t>
      </w:r>
    </w:p>
    <w:p>
      <w:pPr>
        <w:pStyle w:val="3"/>
        <w:ind w:firstLine="643"/>
      </w:pPr>
      <w:bookmarkStart w:id="2" w:name="_Toc129926073"/>
      <w:r>
        <w:rPr>
          <w:rFonts w:hint="eastAsia"/>
        </w:rPr>
        <w:t>第二节 “十四五”生态环境保护面临的机遇</w:t>
      </w:r>
      <w:bookmarkEnd w:id="2"/>
    </w:p>
    <w:p>
      <w:pPr>
        <w:ind w:firstLine="640"/>
      </w:pPr>
      <w:r>
        <w:rPr>
          <w:rFonts w:hint="eastAsia"/>
        </w:rPr>
        <w:t>“十四五”时期是全县发挥独特优势、加快转型升级、实现高质量发展的关键阶段，要坚定不移的贯彻新发展理念，全面对接吉林东部绿色转型发展区和东北东部现代化区域中心城市建设等省市重大战略，深入挖掘全县区位、生态、资源、产业、文化等五大优势的潜力，积极创建国家生态文明建设示范区和“绿水青山就是金山银山”实践创新基地，把优势转化为现实生产力，推动生态环境高水平保护和经济建设高质量发展。</w:t>
      </w:r>
    </w:p>
    <w:p>
      <w:pPr>
        <w:ind w:firstLine="643"/>
      </w:pPr>
      <w:r>
        <w:rPr>
          <w:rFonts w:hint="eastAsia"/>
          <w:b/>
        </w:rPr>
        <w:t>党中央、国务院高度重视生态文明建设为生态环境保护工作提供了正确的指引。</w:t>
      </w:r>
      <w:r>
        <w:rPr>
          <w:rFonts w:hint="eastAsia"/>
        </w:rPr>
        <w:t>《中共中央关于制定国民经济和社会发展第十四个五年规划和二〇三五年远景目标的建议》确定了“十四五”生态文明建设和生态环境保护的新思想、新要求、新目标和新部署，为“十四五”生态环境保护工作指明了方向。习近平总书记五年三次视察吉林省的重要指示精神，在东北振兴系列讲话中对生态环境保护工作的指示精神，为推动生态环境保护工作提供了重要指引。</w:t>
      </w:r>
    </w:p>
    <w:p>
      <w:pPr>
        <w:ind w:firstLine="643"/>
      </w:pPr>
      <w:r>
        <w:rPr>
          <w:rFonts w:hint="eastAsia"/>
          <w:b/>
        </w:rPr>
        <w:t>生态文明示范区和“两山”实践创新基地建设为生态环境保护工作提供了强大的动力。</w:t>
      </w:r>
      <w:r>
        <w:rPr>
          <w:rFonts w:hint="eastAsia"/>
        </w:rPr>
        <w:t>创建生态文明建设示范区和“绿水青山就是金山银山”实践创新基地创建，旨在深入贯彻落实习近平生态文明思想和党中央、国务院关于生态文明建设的决策部署，切实把生态文明建设摆在全局工作的突出地位。“十四五”期间，我县将不断加大生态文明建设投入，推进生态文明建设示范区和“绿水青山就是金山银山”实践创新基地的持续建设。健全体制机制，加强探索创新，带动区域生态环境质量提升、有力促进绿色高质量发展、全面推动生态文明建设改革任务落地见效，充分发挥示范引领作用。</w:t>
      </w:r>
    </w:p>
    <w:p>
      <w:pPr>
        <w:ind w:firstLine="643"/>
      </w:pPr>
      <w:r>
        <w:rPr>
          <w:rFonts w:hint="eastAsia"/>
          <w:b/>
        </w:rPr>
        <w:t>治理体系和能力现代化为生态环境保护工作提供了系统的制度保障。</w:t>
      </w:r>
      <w:r>
        <w:rPr>
          <w:rFonts w:hint="eastAsia"/>
        </w:rPr>
        <w:t>国家正在加速推进生态文明体制机制、生态环境治理体系和治理能力现代化建设，生态文明制度体系将进一步完善，覆盖全国的主体功能区制度、资源环境管理制度、生态补偿制度、环保督察制度等将持续为生态环境保护工作提供支撑。在新环境保护法框架下，生态环境保护、污染防治、监管执法等领域各项法律法规和政策规章将持续落实，用法治为生态文明建设保驾护航。</w:t>
      </w:r>
    </w:p>
    <w:p>
      <w:pPr>
        <w:pStyle w:val="3"/>
        <w:ind w:firstLine="643"/>
      </w:pPr>
      <w:bookmarkStart w:id="3" w:name="_Toc129926074"/>
      <w:r>
        <w:rPr>
          <w:rFonts w:hint="eastAsia"/>
        </w:rPr>
        <w:t>第三节 “十四五”生态环境保护面临的挑战</w:t>
      </w:r>
      <w:bookmarkEnd w:id="3"/>
    </w:p>
    <w:p>
      <w:pPr>
        <w:pStyle w:val="25"/>
        <w:topLinePunct/>
        <w:contextualSpacing/>
        <w:rPr>
          <w:rFonts w:ascii="Times New Roman" w:hAnsi="Times New Roman" w:eastAsia="仿宋"/>
          <w:szCs w:val="22"/>
        </w:rPr>
      </w:pPr>
      <w:r>
        <w:rPr>
          <w:rFonts w:hint="eastAsia" w:ascii="Times New Roman" w:hAnsi="Times New Roman" w:eastAsia="仿宋"/>
          <w:szCs w:val="22"/>
        </w:rPr>
        <w:t>“十三五”</w:t>
      </w:r>
      <w:r>
        <w:rPr>
          <w:rFonts w:ascii="Times New Roman" w:hAnsi="Times New Roman" w:eastAsia="仿宋"/>
          <w:szCs w:val="22"/>
        </w:rPr>
        <w:t>时期，</w:t>
      </w:r>
      <w:r>
        <w:rPr>
          <w:rFonts w:hint="eastAsia" w:ascii="Times New Roman" w:hAnsi="Times New Roman" w:eastAsia="仿宋"/>
          <w:szCs w:val="22"/>
        </w:rPr>
        <w:t>靖宇县</w:t>
      </w:r>
      <w:r>
        <w:rPr>
          <w:rFonts w:ascii="Times New Roman" w:hAnsi="Times New Roman" w:eastAsia="仿宋"/>
          <w:szCs w:val="22"/>
        </w:rPr>
        <w:t>深入推进农业农村污染防治，农村环境全面改善；地表水和大气环境质量明显改善，生态环境质量不断提升，主导产业得到快速发展。</w:t>
      </w:r>
      <w:r>
        <w:rPr>
          <w:rFonts w:hint="eastAsia" w:ascii="Times New Roman" w:hAnsi="Times New Roman" w:eastAsia="仿宋"/>
          <w:szCs w:val="22"/>
        </w:rPr>
        <w:t>但当前和今后一个时期，靖宇县生态环境保护仍处于攻坚期、窗口期、结构性、根源性、趋势性压力尚未根本缓解。“十四五”时期，我县生态环境保护工作仍面临一定挑战。</w:t>
      </w:r>
    </w:p>
    <w:p>
      <w:pPr>
        <w:ind w:firstLine="643"/>
      </w:pPr>
      <w:r>
        <w:rPr>
          <w:b/>
        </w:rPr>
        <w:t>产业结构</w:t>
      </w:r>
      <w:r>
        <w:rPr>
          <w:rFonts w:hint="eastAsia"/>
          <w:b/>
        </w:rPr>
        <w:t>、</w:t>
      </w:r>
      <w:r>
        <w:rPr>
          <w:b/>
        </w:rPr>
        <w:t>能源结构优化调整面临重大挑战</w:t>
      </w:r>
      <w:r>
        <w:rPr>
          <w:rFonts w:hint="eastAsia"/>
          <w:b/>
        </w:rPr>
        <w:t>。</w:t>
      </w:r>
      <w:r>
        <w:t>如何协调推进碳排放控制工作，力争2030年前达到峰值、努力争取2060年前实现碳中和，加快推进绿色低碳发展、降低碳排放强度，构建清洁能源体系等方式发展</w:t>
      </w:r>
      <w:r>
        <w:rPr>
          <w:rFonts w:hint="eastAsia"/>
        </w:rPr>
        <w:t>靖宇县</w:t>
      </w:r>
      <w:r>
        <w:t>地区经济，实现保护环境与经济发展的协调可持续</w:t>
      </w:r>
      <w:r>
        <w:rPr>
          <w:rFonts w:hint="eastAsia"/>
        </w:rPr>
        <w:t>，是一项重大挑战</w:t>
      </w:r>
      <w:r>
        <w:t>。</w:t>
      </w:r>
    </w:p>
    <w:p>
      <w:pPr>
        <w:widowControl/>
        <w:ind w:firstLine="643"/>
        <w:contextualSpacing/>
      </w:pPr>
      <w:r>
        <w:rPr>
          <w:rFonts w:hint="eastAsia"/>
          <w:b/>
        </w:rPr>
        <w:t>城乡环境污染防治二元结构问题仍需下功夫解决</w:t>
      </w:r>
      <w:r>
        <w:rPr>
          <w:b/>
        </w:rPr>
        <w:t>。</w:t>
      </w:r>
      <w:r>
        <w:rPr>
          <w:rFonts w:hint="eastAsia"/>
        </w:rPr>
        <w:t>虽然生态环境保护工作逐渐向农村延伸，农村环境质量不断改善，但发展不平衡不充分问题仍然突出，城乡之间在环境基础设施、环境监测、环境管理、环境执法、环保工作深度和广度等方面还存在较大差距，农村环境整治多头管理、缺乏统筹，城中村、老旧城区和城乡结合部污水散排、垃圾散排、散养畜禽粪便堆积河岸的现象依然存在，畜禽养殖污染防治任务艰巨，农村生态保护和环境污染防治亟待加强，生态环境质量的改善距离百姓对美好生活的期盼的目标还有一定差距。</w:t>
      </w:r>
    </w:p>
    <w:p>
      <w:pPr>
        <w:widowControl/>
        <w:ind w:firstLine="643"/>
        <w:contextualSpacing/>
      </w:pPr>
      <w:r>
        <w:rPr>
          <w:b/>
        </w:rPr>
        <w:t>环境空气质量目标形势仍有一定压力。</w:t>
      </w:r>
      <w:r>
        <w:t>环境空气属于气象敏感型污染，尤其在冬季出现重污染天气的情况偏高，进入12月份受地面均压场控制，风力较小，不利于污染物扩散，造成中度污染天气，局地短时易形成重度污染。受不利气象条件等多种因素叠加影响，环境空气质量仍面临较大挑战。</w:t>
      </w:r>
    </w:p>
    <w:p>
      <w:pPr>
        <w:ind w:firstLine="643"/>
      </w:pPr>
      <w:r>
        <w:rPr>
          <w:rFonts w:cs="Times New Roman"/>
          <w:b/>
          <w:bCs/>
        </w:rPr>
        <w:t>能力建设与新形势、新任务、新要求还不相适应。</w:t>
      </w:r>
      <w:r>
        <w:rPr>
          <w:rFonts w:hint="eastAsia" w:cs="Times New Roman"/>
        </w:rPr>
        <w:t>靖宇县</w:t>
      </w:r>
      <w:r>
        <w:rPr>
          <w:rFonts w:cs="Times New Roman"/>
        </w:rPr>
        <w:t>生态环境队伍的力量还比较薄弱、专业化水平不高，尤其是基层专业人员严重缺乏。执法装备、执法车辆等陈旧老化，不能完全满足执法需求。运用信息化手段开展生态环境精准治理和精细化管理的水平还不高，在环境承载能力测算、污染成因分析等方面还缺乏有效的手段和智力支撑。</w:t>
      </w:r>
    </w:p>
    <w:p>
      <w:pPr>
        <w:ind w:firstLine="640"/>
        <w:sectPr>
          <w:pgSz w:w="11906" w:h="16838"/>
          <w:pgMar w:top="1440" w:right="1800" w:bottom="1440" w:left="1800" w:header="851" w:footer="992" w:gutter="0"/>
          <w:pgNumType w:start="1"/>
          <w:cols w:space="425" w:num="1"/>
          <w:docGrid w:type="lines" w:linePitch="312" w:charSpace="0"/>
        </w:sectPr>
      </w:pPr>
    </w:p>
    <w:p>
      <w:pPr>
        <w:pStyle w:val="2"/>
        <w:pageBreakBefore/>
        <w:ind w:firstLine="0" w:firstLineChars="0"/>
      </w:pPr>
      <w:bookmarkStart w:id="4" w:name="_Toc129926075"/>
      <w:r>
        <w:rPr>
          <w:rFonts w:hint="eastAsia"/>
        </w:rPr>
        <w:t>第二章  指导思想、基本原则和主要目标</w:t>
      </w:r>
      <w:bookmarkEnd w:id="4"/>
    </w:p>
    <w:p>
      <w:pPr>
        <w:ind w:firstLine="640"/>
      </w:pPr>
      <w:r>
        <w:rPr>
          <w:rFonts w:hint="eastAsia"/>
        </w:rPr>
        <w:t>“十四五”时期，</w:t>
      </w:r>
      <w:r>
        <w:t>靖宇县将以高质量发展全面振兴为主线，深入推进经济发展绿色转型，</w:t>
      </w:r>
      <w:r>
        <w:rPr>
          <w:rFonts w:hint="eastAsia"/>
        </w:rPr>
        <w:t>坚持山水林田湖草沙一体化保护和系统治理，</w:t>
      </w:r>
      <w:r>
        <w:t>建设践</w:t>
      </w:r>
      <w:r>
        <w:rPr>
          <w:rFonts w:hint="eastAsia"/>
        </w:rPr>
        <w:t>行“两山”</w:t>
      </w:r>
      <w:r>
        <w:t>理念试验区的创新示范区</w:t>
      </w:r>
      <w:r>
        <w:rPr>
          <w:rFonts w:hint="eastAsia"/>
        </w:rPr>
        <w:t>，全方位、全地域、全过程加强生态环境保护，</w:t>
      </w:r>
      <w:r>
        <w:t>实现生态文明建设新进步</w:t>
      </w:r>
      <w:r>
        <w:rPr>
          <w:rFonts w:hint="eastAsia"/>
        </w:rPr>
        <w:t>，</w:t>
      </w:r>
      <w:r>
        <w:t>奋力谱写全面建设社会主义现代化靖宇崭新篇章。</w:t>
      </w:r>
    </w:p>
    <w:p>
      <w:pPr>
        <w:pStyle w:val="3"/>
        <w:ind w:firstLine="643"/>
      </w:pPr>
      <w:bookmarkStart w:id="5" w:name="_Toc129926076"/>
      <w:r>
        <w:rPr>
          <w:rFonts w:hint="eastAsia"/>
        </w:rPr>
        <w:t>第一节 指导思想</w:t>
      </w:r>
      <w:bookmarkEnd w:id="5"/>
    </w:p>
    <w:p>
      <w:pPr>
        <w:ind w:firstLine="640"/>
      </w:pPr>
      <w:r>
        <w:rPr>
          <w:rFonts w:hint="eastAsia"/>
        </w:rPr>
        <w:t>坚持以习近平新时代中国特色社会主义思想为指导，深入贯彻党的二十大和二十届一中、二中全会精神，忠实践行习近平生态文明思想，坚持以人民为中心的发展思想，</w:t>
      </w:r>
      <w:r>
        <w:t>以习近平总书记视察吉林重要讲话和重要指示精神为统领，</w:t>
      </w:r>
      <w:r>
        <w:rPr>
          <w:rFonts w:hint="eastAsia"/>
        </w:rPr>
        <w:t>立足新发展阶段，完整准确全面贯彻</w:t>
      </w:r>
      <w:r>
        <w:t>树立新发展理念</w:t>
      </w:r>
      <w:r>
        <w:rPr>
          <w:rFonts w:hint="eastAsia"/>
        </w:rPr>
        <w:t>。按照</w:t>
      </w:r>
      <w:r>
        <w:t>省委</w:t>
      </w:r>
      <w:r>
        <w:rPr>
          <w:rFonts w:hint="eastAsia"/>
        </w:rPr>
        <w:t>“一主六双”高质量</w:t>
      </w:r>
      <w:r>
        <w:t>发展战略</w:t>
      </w:r>
      <w:r>
        <w:rPr>
          <w:rFonts w:hint="eastAsia"/>
        </w:rPr>
        <w:t>，</w:t>
      </w:r>
      <w:r>
        <w:t>深度</w:t>
      </w:r>
      <w:r>
        <w:rPr>
          <w:rFonts w:hint="eastAsia"/>
        </w:rPr>
        <w:t>融合</w:t>
      </w:r>
      <w:r>
        <w:t>市委</w:t>
      </w:r>
      <w:r>
        <w:rPr>
          <w:rFonts w:hint="eastAsia"/>
        </w:rPr>
        <w:t>“一山两江”品牌战略和“一体两翼”发展格</w:t>
      </w:r>
      <w:r>
        <w:t>局</w:t>
      </w:r>
      <w:r>
        <w:rPr>
          <w:rFonts w:hint="eastAsia"/>
        </w:rPr>
        <w:t>要求</w:t>
      </w:r>
      <w:r>
        <w:t>，</w:t>
      </w:r>
      <w:r>
        <w:rPr>
          <w:rFonts w:hint="eastAsia"/>
        </w:rPr>
        <w:t>全面落实创新、协调、绿色、开放、共享的新发展理念，坚持走生态优先、绿色发展之路，统筹推进“五位一体”总体布局，紧紧抓住国家支持东北地区深化改革创新、推动高质量发展的重要机遇，以坚持生态强县的发展战略为核心，突出生态环境高标准保护和生态经济高质量发展，重点围绕“两山”理念实践上实现新突破、经济高质量发展上闯出新路子、融入服务新发展格局上展现新作为、提升区域融合发展层次和水平上实现新跃升、促进文化资源创造性转化和创新性发展上迈出新步伐、推动共同富裕上取得新成效等六方面工作，</w:t>
      </w:r>
      <w:r>
        <w:t>努力打造</w:t>
      </w:r>
      <w:r>
        <w:rPr>
          <w:rFonts w:hint="eastAsia"/>
        </w:rPr>
        <w:t>靖宇县</w:t>
      </w:r>
      <w:r>
        <w:t>生态环保新名片。</w:t>
      </w:r>
    </w:p>
    <w:p>
      <w:pPr>
        <w:pStyle w:val="3"/>
        <w:ind w:firstLine="643"/>
      </w:pPr>
      <w:bookmarkStart w:id="6" w:name="_Toc129926077"/>
      <w:r>
        <w:rPr>
          <w:rFonts w:hint="eastAsia"/>
        </w:rPr>
        <w:t>第二节 基本原则</w:t>
      </w:r>
      <w:bookmarkEnd w:id="6"/>
    </w:p>
    <w:p>
      <w:pPr>
        <w:ind w:firstLine="643"/>
        <w:rPr>
          <w:rFonts w:cs="Times New Roman"/>
          <w:bCs/>
          <w:szCs w:val="32"/>
        </w:rPr>
      </w:pPr>
      <w:r>
        <w:rPr>
          <w:rFonts w:hint="eastAsia" w:cs="Times New Roman"/>
          <w:b/>
          <w:bCs/>
          <w:szCs w:val="32"/>
        </w:rPr>
        <w:t>人民至上，和谐共生。</w:t>
      </w:r>
      <w:r>
        <w:rPr>
          <w:rFonts w:hint="eastAsia" w:cs="Times New Roman"/>
          <w:bCs/>
          <w:szCs w:val="32"/>
        </w:rPr>
        <w:t>坚持可持续发展，坚持节约优先、保护优先、自然恢复为主的方针，像保护眼睛一样保护自然和生态环境。坚持生态惠民、生态利民、生态为民，不断满足人民日益增长的优美生态环境需要。</w:t>
      </w:r>
    </w:p>
    <w:p>
      <w:pPr>
        <w:ind w:firstLine="643"/>
        <w:rPr>
          <w:rFonts w:cs="Times New Roman"/>
          <w:bCs/>
          <w:szCs w:val="32"/>
        </w:rPr>
      </w:pPr>
      <w:r>
        <w:rPr>
          <w:rFonts w:hint="eastAsia" w:cs="Times New Roman"/>
          <w:b/>
          <w:bCs/>
          <w:szCs w:val="32"/>
        </w:rPr>
        <w:t>绿色低碳，全面转型。</w:t>
      </w:r>
      <w:r>
        <w:rPr>
          <w:rFonts w:hint="eastAsia" w:cs="Times New Roman"/>
          <w:bCs/>
          <w:szCs w:val="32"/>
        </w:rPr>
        <w:t>牢固树立和践行“绿水青山就是金山银山、冰天雪地也是金山银山”的的发展理念，推动产业结构、能源结构、交通运输结构等调整优化，引导经济社会发展绿色化、低碳化，形成绿色低碳的生产方式和生活方式。</w:t>
      </w:r>
    </w:p>
    <w:p>
      <w:pPr>
        <w:ind w:firstLine="643"/>
        <w:rPr>
          <w:rFonts w:cs="Times New Roman"/>
          <w:bCs/>
          <w:szCs w:val="32"/>
        </w:rPr>
      </w:pPr>
      <w:r>
        <w:rPr>
          <w:rFonts w:hint="eastAsia" w:cs="Times New Roman"/>
          <w:b/>
          <w:bCs/>
          <w:szCs w:val="32"/>
        </w:rPr>
        <w:t>系统治理，协同推进。</w:t>
      </w:r>
      <w:r>
        <w:rPr>
          <w:rFonts w:hint="eastAsia" w:cs="Times New Roman"/>
          <w:bCs/>
          <w:szCs w:val="32"/>
        </w:rPr>
        <w:t>坚持按照生态系统的整体性、系统性及内在规律，统筹考虑自然生态各要素、山上山下、地上地下、陆地水域以及流域上下游、左右岸，突出科学治污、精准治污、依法治污，综合治理水、大气、土壤污染，系统推进山水林田湖草生态保护与修复，确保生态环境质量稳中有升、生态系统良性循环。</w:t>
      </w:r>
    </w:p>
    <w:p>
      <w:pPr>
        <w:ind w:firstLine="643"/>
        <w:rPr>
          <w:rFonts w:cs="Times New Roman"/>
          <w:bCs/>
          <w:szCs w:val="32"/>
        </w:rPr>
      </w:pPr>
      <w:r>
        <w:rPr>
          <w:rFonts w:hint="eastAsia" w:cs="Times New Roman"/>
          <w:b/>
          <w:bCs/>
          <w:szCs w:val="32"/>
        </w:rPr>
        <w:t>底线思维，防范风险。</w:t>
      </w:r>
      <w:r>
        <w:rPr>
          <w:rFonts w:hint="eastAsia" w:cs="Times New Roman"/>
          <w:bCs/>
          <w:szCs w:val="32"/>
        </w:rPr>
        <w:t>坚持为实现高质量发展提供根本保证，加快制度创新、增加制度供给、完善制度配套、强化制度执行，用最严格制度、最严密法治保护生态环境的严密法治观，守住生态环境安全底线，让制度成为刚性的约束和不可触碰的高压线，推动生态法治意识深入人心，紧盯高风险领域，强化生态安全、生物安全、核与辐射安全，切实维护生态环境安全。</w:t>
      </w:r>
    </w:p>
    <w:p>
      <w:pPr>
        <w:ind w:firstLine="643"/>
        <w:rPr>
          <w:rFonts w:cs="Times New Roman"/>
          <w:bCs/>
          <w:szCs w:val="32"/>
        </w:rPr>
      </w:pPr>
      <w:r>
        <w:rPr>
          <w:rFonts w:hint="eastAsia" w:cs="Times New Roman"/>
          <w:b/>
          <w:bCs/>
          <w:szCs w:val="32"/>
        </w:rPr>
        <w:t>深化改革，持续创新。</w:t>
      </w:r>
      <w:r>
        <w:rPr>
          <w:rFonts w:hint="eastAsia" w:cs="Times New Roman"/>
          <w:bCs/>
          <w:szCs w:val="32"/>
        </w:rPr>
        <w:t>坚持政策创新、技术创新、管理创新，以治理体系与治理能力现代化，支撑生态环境精细化、差异化管理，巩固污染防治攻坚战成果，提高监察执法、环境监测、辐射监管、固体废物监管、应对气候变化、环境规划等生态环境保护基础能力，全面完成生态环境管理战略转型。</w:t>
      </w:r>
    </w:p>
    <w:p>
      <w:pPr>
        <w:pStyle w:val="3"/>
        <w:ind w:firstLine="643"/>
      </w:pPr>
      <w:bookmarkStart w:id="7" w:name="_Toc129926078"/>
      <w:r>
        <w:rPr>
          <w:rFonts w:hint="eastAsia"/>
        </w:rPr>
        <w:t>第三节 主要目标</w:t>
      </w:r>
      <w:bookmarkEnd w:id="7"/>
    </w:p>
    <w:p>
      <w:pPr>
        <w:ind w:firstLine="640"/>
        <w:rPr>
          <w:szCs w:val="32"/>
        </w:rPr>
      </w:pPr>
      <w:r>
        <w:rPr>
          <w:rFonts w:hint="eastAsia"/>
          <w:szCs w:val="32"/>
        </w:rPr>
        <w:t>（一）总体目标</w:t>
      </w:r>
    </w:p>
    <w:p>
      <w:pPr>
        <w:ind w:firstLine="640"/>
        <w:rPr>
          <w:rFonts w:ascii="仿宋" w:hAnsi="仿宋"/>
          <w:szCs w:val="32"/>
        </w:rPr>
      </w:pPr>
      <w:r>
        <w:rPr>
          <w:rFonts w:hint="eastAsia" w:ascii="仿宋" w:hAnsi="仿宋"/>
          <w:szCs w:val="32"/>
        </w:rPr>
        <w:t>到2025年，靖宇县生态环境质量实现新改善、生态系统功能实现新提高、环境治理体系和治理能力实现新进步，生态文明建设取得扎实成效，“两山”转化模式基本形成，绿色低碳生产生活方式初步形成，全民生态文明素质显著增强。</w:t>
      </w:r>
    </w:p>
    <w:p>
      <w:pPr>
        <w:ind w:firstLine="640"/>
        <w:rPr>
          <w:szCs w:val="32"/>
        </w:rPr>
      </w:pPr>
      <w:r>
        <w:rPr>
          <w:rFonts w:hint="eastAsia"/>
          <w:szCs w:val="32"/>
        </w:rPr>
        <w:t>（二）主要指标</w:t>
      </w:r>
    </w:p>
    <w:p>
      <w:pPr>
        <w:ind w:firstLine="640"/>
      </w:pPr>
      <w:r>
        <w:t>对照</w:t>
      </w:r>
      <w:r>
        <w:rPr>
          <w:rFonts w:hint="eastAsia"/>
        </w:rPr>
        <w:t>《白山市生态环境保护“十四五”规划》</w:t>
      </w:r>
      <w:r>
        <w:t>和《美丽中国建设评估指标体系及实施方案》，</w:t>
      </w:r>
      <w:r>
        <w:rPr>
          <w:rFonts w:hint="eastAsia"/>
        </w:rPr>
        <w:t>靖宇县</w:t>
      </w:r>
      <w:r>
        <w:t>生态环境保护</w:t>
      </w:r>
      <w:r>
        <w:rPr>
          <w:rFonts w:hint="eastAsia"/>
        </w:rPr>
        <w:t>“十四五”规划的</w:t>
      </w:r>
      <w:r>
        <w:t>主要指标体系围绕环境质量改善、污染物排放总量控制、生态安全维护、应对气候变化等四大类，提出</w:t>
      </w:r>
      <w:r>
        <w:rPr>
          <w:rFonts w:hint="eastAsia"/>
        </w:rPr>
        <w:t>19</w:t>
      </w:r>
      <w:r>
        <w:t>项指标。</w:t>
      </w:r>
    </w:p>
    <w:p>
      <w:pPr>
        <w:ind w:firstLine="640"/>
      </w:pPr>
    </w:p>
    <w:p>
      <w:pPr>
        <w:ind w:firstLine="640"/>
      </w:pPr>
    </w:p>
    <w:p>
      <w:pPr>
        <w:spacing w:line="240" w:lineRule="auto"/>
        <w:ind w:firstLine="0" w:firstLineChars="0"/>
        <w:jc w:val="center"/>
        <w:rPr>
          <w:b/>
        </w:rPr>
      </w:pPr>
      <w:r>
        <w:rPr>
          <w:rFonts w:hint="eastAsia"/>
          <w:b/>
        </w:rPr>
        <w:t>“十四五”时期靖宇县生态环境保护主要指标</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498"/>
        <w:gridCol w:w="4052"/>
        <w:gridCol w:w="1482"/>
        <w:gridCol w:w="1575"/>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808" w:type="pct"/>
            <w:gridSpan w:val="3"/>
            <w:vAlign w:val="center"/>
          </w:tcPr>
          <w:p>
            <w:pPr>
              <w:adjustRightInd w:val="0"/>
              <w:snapToGrid w:val="0"/>
              <w:spacing w:line="240" w:lineRule="auto"/>
              <w:ind w:firstLine="0" w:firstLineChars="0"/>
              <w:jc w:val="center"/>
              <w:rPr>
                <w:b/>
                <w:bCs/>
                <w:sz w:val="24"/>
                <w:szCs w:val="24"/>
              </w:rPr>
            </w:pPr>
            <w:r>
              <w:rPr>
                <w:b/>
                <w:bCs/>
                <w:sz w:val="24"/>
                <w:szCs w:val="24"/>
              </w:rPr>
              <w:t>指</w:t>
            </w:r>
            <w:r>
              <w:rPr>
                <w:rFonts w:hint="eastAsia"/>
                <w:b/>
                <w:bCs/>
                <w:sz w:val="24"/>
                <w:szCs w:val="24"/>
              </w:rPr>
              <w:t xml:space="preserve">    </w:t>
            </w:r>
            <w:r>
              <w:rPr>
                <w:b/>
                <w:bCs/>
                <w:sz w:val="24"/>
                <w:szCs w:val="24"/>
              </w:rPr>
              <w:t>标</w:t>
            </w:r>
          </w:p>
        </w:tc>
        <w:tc>
          <w:tcPr>
            <w:tcW w:w="798" w:type="pct"/>
            <w:vAlign w:val="center"/>
          </w:tcPr>
          <w:p>
            <w:pPr>
              <w:adjustRightInd w:val="0"/>
              <w:snapToGrid w:val="0"/>
              <w:spacing w:line="240" w:lineRule="auto"/>
              <w:ind w:firstLine="0" w:firstLineChars="0"/>
              <w:jc w:val="center"/>
              <w:rPr>
                <w:b/>
                <w:bCs/>
                <w:sz w:val="24"/>
                <w:szCs w:val="24"/>
              </w:rPr>
            </w:pPr>
            <w:r>
              <w:rPr>
                <w:rFonts w:hint="eastAsia"/>
                <w:b/>
                <w:bCs/>
                <w:sz w:val="24"/>
                <w:szCs w:val="24"/>
              </w:rPr>
              <w:t>2020年</w:t>
            </w:r>
          </w:p>
        </w:tc>
        <w:tc>
          <w:tcPr>
            <w:tcW w:w="848" w:type="pct"/>
            <w:vAlign w:val="center"/>
          </w:tcPr>
          <w:p>
            <w:pPr>
              <w:adjustRightInd w:val="0"/>
              <w:snapToGrid w:val="0"/>
              <w:spacing w:line="240" w:lineRule="auto"/>
              <w:ind w:firstLine="0" w:firstLineChars="0"/>
              <w:jc w:val="center"/>
              <w:rPr>
                <w:b/>
                <w:bCs/>
                <w:sz w:val="24"/>
                <w:szCs w:val="24"/>
              </w:rPr>
            </w:pPr>
            <w:r>
              <w:rPr>
                <w:b/>
                <w:bCs/>
                <w:sz w:val="24"/>
                <w:szCs w:val="24"/>
              </w:rPr>
              <w:t>2025年</w:t>
            </w:r>
          </w:p>
        </w:tc>
        <w:tc>
          <w:tcPr>
            <w:tcW w:w="546" w:type="pct"/>
            <w:vAlign w:val="center"/>
          </w:tcPr>
          <w:p>
            <w:pPr>
              <w:adjustRightInd w:val="0"/>
              <w:snapToGrid w:val="0"/>
              <w:spacing w:line="240" w:lineRule="auto"/>
              <w:ind w:firstLine="0" w:firstLineChars="0"/>
              <w:jc w:val="center"/>
              <w:rPr>
                <w:b/>
                <w:bCs/>
                <w:sz w:val="24"/>
                <w:szCs w:val="24"/>
              </w:rPr>
            </w:pPr>
            <w:r>
              <w:rPr>
                <w:rFonts w:hint="eastAsia"/>
                <w:b/>
                <w:bCs/>
                <w:sz w:val="24"/>
                <w:szCs w:val="24"/>
              </w:rPr>
              <w:t>指标</w:t>
            </w:r>
            <w:r>
              <w:rPr>
                <w:b/>
                <w:bCs/>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restart"/>
            <w:vAlign w:val="center"/>
          </w:tcPr>
          <w:p>
            <w:pPr>
              <w:adjustRightInd w:val="0"/>
              <w:snapToGrid w:val="0"/>
              <w:spacing w:line="240" w:lineRule="auto"/>
              <w:ind w:firstLine="0" w:firstLineChars="0"/>
              <w:jc w:val="center"/>
              <w:rPr>
                <w:sz w:val="24"/>
                <w:szCs w:val="24"/>
              </w:rPr>
            </w:pPr>
            <w:r>
              <w:rPr>
                <w:bCs/>
                <w:sz w:val="24"/>
                <w:szCs w:val="24"/>
              </w:rPr>
              <w:t>生态环境质量</w:t>
            </w:r>
          </w:p>
        </w:tc>
        <w:tc>
          <w:tcPr>
            <w:tcW w:w="268" w:type="pct"/>
            <w:vAlign w:val="center"/>
          </w:tcPr>
          <w:p>
            <w:pPr>
              <w:adjustRightInd w:val="0"/>
              <w:snapToGrid w:val="0"/>
              <w:spacing w:line="240" w:lineRule="auto"/>
              <w:ind w:firstLine="0" w:firstLineChars="0"/>
              <w:jc w:val="center"/>
              <w:rPr>
                <w:sz w:val="24"/>
                <w:szCs w:val="24"/>
              </w:rPr>
            </w:pPr>
            <w:r>
              <w:rPr>
                <w:sz w:val="24"/>
                <w:szCs w:val="24"/>
              </w:rPr>
              <w:t>1</w:t>
            </w:r>
          </w:p>
        </w:tc>
        <w:tc>
          <w:tcPr>
            <w:tcW w:w="2182" w:type="pct"/>
            <w:vAlign w:val="center"/>
          </w:tcPr>
          <w:p>
            <w:pPr>
              <w:adjustRightInd w:val="0"/>
              <w:snapToGrid w:val="0"/>
              <w:spacing w:line="240" w:lineRule="auto"/>
              <w:ind w:firstLine="0" w:firstLineChars="0"/>
              <w:jc w:val="center"/>
              <w:rPr>
                <w:sz w:val="24"/>
                <w:szCs w:val="24"/>
              </w:rPr>
            </w:pPr>
            <w:r>
              <w:rPr>
                <w:sz w:val="24"/>
                <w:szCs w:val="24"/>
              </w:rPr>
              <w:t>城市细颗粒物（PM</w:t>
            </w:r>
            <w:r>
              <w:rPr>
                <w:sz w:val="24"/>
                <w:szCs w:val="24"/>
                <w:vertAlign w:val="subscript"/>
              </w:rPr>
              <w:t>2.5</w:t>
            </w:r>
            <w:r>
              <w:rPr>
                <w:sz w:val="24"/>
                <w:szCs w:val="24"/>
              </w:rPr>
              <w:t>）浓度</w:t>
            </w:r>
            <w:r>
              <w:rPr>
                <w:rFonts w:hint="eastAsia"/>
                <w:sz w:val="24"/>
                <w:szCs w:val="24"/>
              </w:rPr>
              <w:t>（</w:t>
            </w:r>
            <w:r>
              <w:rPr>
                <w:sz w:val="24"/>
                <w:szCs w:val="24"/>
              </w:rPr>
              <w:t>μg/m</w:t>
            </w:r>
            <w:r>
              <w:rPr>
                <w:sz w:val="24"/>
                <w:szCs w:val="24"/>
                <w:vertAlign w:val="superscript"/>
              </w:rPr>
              <w:t>3</w:t>
            </w:r>
            <w:r>
              <w:rPr>
                <w:rFonts w:hint="eastAsia"/>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23</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22</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bCs/>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2</w:t>
            </w:r>
          </w:p>
        </w:tc>
        <w:tc>
          <w:tcPr>
            <w:tcW w:w="2182" w:type="pct"/>
            <w:vAlign w:val="center"/>
          </w:tcPr>
          <w:p>
            <w:pPr>
              <w:adjustRightInd w:val="0"/>
              <w:snapToGrid w:val="0"/>
              <w:spacing w:line="240" w:lineRule="auto"/>
              <w:ind w:firstLine="0" w:firstLineChars="0"/>
              <w:jc w:val="center"/>
              <w:rPr>
                <w:sz w:val="24"/>
                <w:szCs w:val="24"/>
              </w:rPr>
            </w:pPr>
            <w:r>
              <w:rPr>
                <w:sz w:val="24"/>
                <w:szCs w:val="24"/>
              </w:rPr>
              <w:t>城市空气质量优良天数比例</w:t>
            </w:r>
            <w:r>
              <w:rPr>
                <w:rFonts w:hint="eastAsia"/>
                <w:sz w:val="24"/>
                <w:szCs w:val="24"/>
              </w:rPr>
              <w:t>（</w:t>
            </w:r>
            <w:r>
              <w:rPr>
                <w:sz w:val="24"/>
                <w:szCs w:val="24"/>
              </w:rPr>
              <w:t>%</w:t>
            </w:r>
            <w:r>
              <w:rPr>
                <w:rFonts w:hint="eastAsia"/>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98</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98</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bCs/>
                <w:sz w:val="24"/>
                <w:szCs w:val="24"/>
              </w:rPr>
            </w:pPr>
          </w:p>
        </w:tc>
        <w:tc>
          <w:tcPr>
            <w:tcW w:w="268" w:type="pct"/>
            <w:vAlign w:val="center"/>
          </w:tcPr>
          <w:p>
            <w:pPr>
              <w:adjustRightInd w:val="0"/>
              <w:snapToGrid w:val="0"/>
              <w:spacing w:line="240" w:lineRule="auto"/>
              <w:ind w:firstLine="0" w:firstLineChars="0"/>
              <w:jc w:val="center"/>
              <w:rPr>
                <w:sz w:val="24"/>
                <w:szCs w:val="24"/>
              </w:rPr>
            </w:pPr>
            <w:r>
              <w:rPr>
                <w:rFonts w:hint="eastAsia"/>
                <w:sz w:val="24"/>
                <w:szCs w:val="24"/>
              </w:rPr>
              <w:t>3</w:t>
            </w:r>
          </w:p>
        </w:tc>
        <w:tc>
          <w:tcPr>
            <w:tcW w:w="2182" w:type="pct"/>
            <w:vAlign w:val="center"/>
          </w:tcPr>
          <w:p>
            <w:pPr>
              <w:adjustRightInd w:val="0"/>
              <w:snapToGrid w:val="0"/>
              <w:spacing w:line="240" w:lineRule="auto"/>
              <w:ind w:firstLine="0" w:firstLineChars="0"/>
              <w:jc w:val="center"/>
              <w:rPr>
                <w:sz w:val="24"/>
                <w:szCs w:val="24"/>
              </w:rPr>
            </w:pPr>
            <w:r>
              <w:rPr>
                <w:rFonts w:hint="eastAsia"/>
                <w:sz w:val="24"/>
                <w:szCs w:val="24"/>
              </w:rPr>
              <w:t>重污染天数比例（%）</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0</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0</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sz w:val="24"/>
                <w:szCs w:val="24"/>
              </w:rPr>
            </w:pPr>
          </w:p>
        </w:tc>
        <w:tc>
          <w:tcPr>
            <w:tcW w:w="268" w:type="pct"/>
            <w:vAlign w:val="center"/>
          </w:tcPr>
          <w:p>
            <w:pPr>
              <w:adjustRightInd w:val="0"/>
              <w:snapToGrid w:val="0"/>
              <w:spacing w:line="240" w:lineRule="auto"/>
              <w:ind w:firstLine="0" w:firstLineChars="0"/>
              <w:jc w:val="center"/>
              <w:rPr>
                <w:sz w:val="24"/>
                <w:szCs w:val="24"/>
              </w:rPr>
            </w:pPr>
            <w:r>
              <w:rPr>
                <w:rFonts w:hint="eastAsia"/>
                <w:sz w:val="24"/>
                <w:szCs w:val="24"/>
              </w:rPr>
              <w:t>4</w:t>
            </w:r>
          </w:p>
        </w:tc>
        <w:tc>
          <w:tcPr>
            <w:tcW w:w="2182" w:type="pct"/>
            <w:vAlign w:val="center"/>
          </w:tcPr>
          <w:p>
            <w:pPr>
              <w:adjustRightInd w:val="0"/>
              <w:snapToGrid w:val="0"/>
              <w:spacing w:line="240" w:lineRule="auto"/>
              <w:ind w:firstLine="0" w:firstLineChars="0"/>
              <w:jc w:val="center"/>
              <w:rPr>
                <w:sz w:val="24"/>
                <w:szCs w:val="24"/>
              </w:rPr>
            </w:pPr>
            <w:r>
              <w:rPr>
                <w:sz w:val="24"/>
                <w:szCs w:val="24"/>
              </w:rPr>
              <w:t>地表水达到或好于</w:t>
            </w:r>
            <w:r>
              <w:rPr>
                <w:kern w:val="0"/>
                <w:sz w:val="24"/>
                <w:szCs w:val="24"/>
              </w:rPr>
              <w:t>Ⅲ类水体比例</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100</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100</w:t>
            </w:r>
          </w:p>
        </w:tc>
        <w:tc>
          <w:tcPr>
            <w:tcW w:w="546" w:type="pct"/>
            <w:vAlign w:val="center"/>
          </w:tcPr>
          <w:p>
            <w:pPr>
              <w:adjustRightInd w:val="0"/>
              <w:snapToGrid w:val="0"/>
              <w:spacing w:line="240" w:lineRule="auto"/>
              <w:ind w:firstLine="0" w:firstLineChars="0"/>
              <w:jc w:val="center"/>
              <w:rPr>
                <w:sz w:val="24"/>
                <w:szCs w:val="24"/>
              </w:rPr>
            </w:pPr>
            <w:r>
              <w:rPr>
                <w:sz w:val="24"/>
                <w:szCs w:val="24"/>
                <w:lang w:val="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5</w:t>
            </w:r>
          </w:p>
        </w:tc>
        <w:tc>
          <w:tcPr>
            <w:tcW w:w="2182" w:type="pct"/>
            <w:vAlign w:val="center"/>
          </w:tcPr>
          <w:p>
            <w:pPr>
              <w:adjustRightInd w:val="0"/>
              <w:snapToGrid w:val="0"/>
              <w:spacing w:line="240" w:lineRule="auto"/>
              <w:ind w:firstLine="0" w:firstLineChars="0"/>
              <w:jc w:val="center"/>
              <w:rPr>
                <w:sz w:val="24"/>
                <w:szCs w:val="24"/>
              </w:rPr>
            </w:pPr>
            <w:r>
              <w:rPr>
                <w:sz w:val="24"/>
                <w:szCs w:val="24"/>
              </w:rPr>
              <w:t>地表水劣Ⅴ类水体比例</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0</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0</w:t>
            </w:r>
          </w:p>
        </w:tc>
        <w:tc>
          <w:tcPr>
            <w:tcW w:w="546" w:type="pct"/>
            <w:vAlign w:val="center"/>
          </w:tcPr>
          <w:p>
            <w:pPr>
              <w:adjustRightInd w:val="0"/>
              <w:snapToGrid w:val="0"/>
              <w:spacing w:line="240" w:lineRule="auto"/>
              <w:ind w:firstLine="0" w:firstLineChars="0"/>
              <w:jc w:val="center"/>
              <w:rPr>
                <w:sz w:val="24"/>
                <w:szCs w:val="24"/>
              </w:rPr>
            </w:pPr>
            <w:r>
              <w:rPr>
                <w:sz w:val="24"/>
                <w:szCs w:val="24"/>
                <w:lang w:val="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6</w:t>
            </w:r>
          </w:p>
        </w:tc>
        <w:tc>
          <w:tcPr>
            <w:tcW w:w="2182" w:type="pct"/>
            <w:vAlign w:val="center"/>
          </w:tcPr>
          <w:p>
            <w:pPr>
              <w:widowControl/>
              <w:adjustRightInd w:val="0"/>
              <w:snapToGrid w:val="0"/>
              <w:spacing w:line="240" w:lineRule="auto"/>
              <w:ind w:firstLine="0" w:firstLineChars="0"/>
              <w:jc w:val="center"/>
              <w:rPr>
                <w:sz w:val="24"/>
                <w:szCs w:val="24"/>
              </w:rPr>
            </w:pPr>
            <w:r>
              <w:rPr>
                <w:kern w:val="0"/>
                <w:sz w:val="24"/>
                <w:szCs w:val="24"/>
              </w:rPr>
              <w:t>地下水</w:t>
            </w:r>
            <w:r>
              <w:rPr>
                <w:rFonts w:hint="eastAsia"/>
                <w:kern w:val="0"/>
                <w:sz w:val="24"/>
                <w:szCs w:val="24"/>
              </w:rPr>
              <w:t>环境区域点位</w:t>
            </w:r>
            <w:r>
              <w:rPr>
                <w:sz w:val="24"/>
                <w:szCs w:val="24"/>
              </w:rPr>
              <w:t>Ⅴ类水体比例</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达到白山市考核目标</w:t>
            </w:r>
          </w:p>
        </w:tc>
        <w:tc>
          <w:tcPr>
            <w:tcW w:w="546" w:type="pct"/>
            <w:vAlign w:val="center"/>
          </w:tcPr>
          <w:p>
            <w:pPr>
              <w:adjustRightInd w:val="0"/>
              <w:snapToGrid w:val="0"/>
              <w:spacing w:line="240" w:lineRule="auto"/>
              <w:ind w:firstLine="0" w:firstLineChars="0"/>
              <w:jc w:val="center"/>
              <w:rPr>
                <w:sz w:val="24"/>
                <w:szCs w:val="24"/>
              </w:rPr>
            </w:pPr>
            <w:r>
              <w:rPr>
                <w:sz w:val="24"/>
                <w:szCs w:val="24"/>
                <w:lang w:val="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7</w:t>
            </w:r>
          </w:p>
        </w:tc>
        <w:tc>
          <w:tcPr>
            <w:tcW w:w="2182" w:type="pct"/>
            <w:vAlign w:val="center"/>
          </w:tcPr>
          <w:p>
            <w:pPr>
              <w:adjustRightInd w:val="0"/>
              <w:snapToGrid w:val="0"/>
              <w:spacing w:line="240" w:lineRule="auto"/>
              <w:ind w:firstLine="0" w:firstLineChars="0"/>
              <w:jc w:val="center"/>
              <w:rPr>
                <w:sz w:val="24"/>
                <w:szCs w:val="24"/>
              </w:rPr>
            </w:pPr>
            <w:r>
              <w:rPr>
                <w:sz w:val="24"/>
                <w:szCs w:val="24"/>
              </w:rPr>
              <w:t>农村生活污水治理率</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w:t>
            </w:r>
          </w:p>
        </w:tc>
        <w:tc>
          <w:tcPr>
            <w:tcW w:w="848" w:type="pct"/>
            <w:vAlign w:val="center"/>
          </w:tcPr>
          <w:p>
            <w:pPr>
              <w:adjustRightInd w:val="0"/>
              <w:snapToGrid w:val="0"/>
              <w:spacing w:line="240" w:lineRule="auto"/>
              <w:ind w:firstLine="0" w:firstLineChars="0"/>
              <w:jc w:val="center"/>
              <w:rPr>
                <w:sz w:val="24"/>
                <w:szCs w:val="24"/>
              </w:rPr>
            </w:pPr>
            <w:r>
              <w:rPr>
                <w:sz w:val="24"/>
                <w:szCs w:val="24"/>
              </w:rPr>
              <w:t>25</w:t>
            </w:r>
          </w:p>
        </w:tc>
        <w:tc>
          <w:tcPr>
            <w:tcW w:w="546" w:type="pct"/>
            <w:vAlign w:val="center"/>
          </w:tcPr>
          <w:p>
            <w:pPr>
              <w:adjustRightInd w:val="0"/>
              <w:snapToGrid w:val="0"/>
              <w:spacing w:line="240" w:lineRule="auto"/>
              <w:ind w:firstLine="0" w:firstLineChars="0"/>
              <w:jc w:val="center"/>
              <w:rPr>
                <w:sz w:val="24"/>
                <w:szCs w:val="24"/>
              </w:rPr>
            </w:pPr>
            <w:r>
              <w:rPr>
                <w:sz w:val="24"/>
                <w:szCs w:val="24"/>
                <w:lang w:val="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bCs/>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8</w:t>
            </w:r>
          </w:p>
        </w:tc>
        <w:tc>
          <w:tcPr>
            <w:tcW w:w="2182" w:type="pct"/>
            <w:vAlign w:val="center"/>
          </w:tcPr>
          <w:p>
            <w:pPr>
              <w:adjustRightInd w:val="0"/>
              <w:snapToGrid w:val="0"/>
              <w:spacing w:line="240" w:lineRule="auto"/>
              <w:ind w:firstLine="0" w:firstLineChars="0"/>
              <w:jc w:val="center"/>
              <w:rPr>
                <w:sz w:val="24"/>
                <w:szCs w:val="24"/>
              </w:rPr>
            </w:pPr>
            <w:r>
              <w:rPr>
                <w:sz w:val="24"/>
                <w:szCs w:val="24"/>
              </w:rPr>
              <w:t>受污染耕地安全利用率</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100</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达到白山市考核目标</w:t>
            </w:r>
          </w:p>
        </w:tc>
        <w:tc>
          <w:tcPr>
            <w:tcW w:w="546" w:type="pct"/>
            <w:vAlign w:val="center"/>
          </w:tcPr>
          <w:p>
            <w:pPr>
              <w:widowControl/>
              <w:adjustRightInd w:val="0"/>
              <w:snapToGrid w:val="0"/>
              <w:spacing w:line="240" w:lineRule="auto"/>
              <w:ind w:firstLine="0" w:firstLineChars="0"/>
              <w:jc w:val="center"/>
              <w:rPr>
                <w:kern w:val="0"/>
                <w:sz w:val="24"/>
                <w:szCs w:val="24"/>
              </w:rPr>
            </w:pPr>
            <w:r>
              <w:rPr>
                <w:sz w:val="24"/>
                <w:szCs w:val="24"/>
                <w:lang w:val="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bCs/>
                <w:sz w:val="24"/>
                <w:szCs w:val="24"/>
              </w:rPr>
            </w:pPr>
          </w:p>
        </w:tc>
        <w:tc>
          <w:tcPr>
            <w:tcW w:w="268" w:type="pct"/>
            <w:vAlign w:val="center"/>
          </w:tcPr>
          <w:p>
            <w:pPr>
              <w:adjustRightInd w:val="0"/>
              <w:snapToGrid w:val="0"/>
              <w:spacing w:line="240" w:lineRule="auto"/>
              <w:ind w:firstLine="0" w:firstLineChars="0"/>
              <w:jc w:val="center"/>
              <w:rPr>
                <w:sz w:val="24"/>
                <w:szCs w:val="24"/>
              </w:rPr>
            </w:pPr>
            <w:r>
              <w:rPr>
                <w:rFonts w:hint="eastAsia"/>
                <w:sz w:val="24"/>
                <w:szCs w:val="24"/>
              </w:rPr>
              <w:t>9</w:t>
            </w:r>
          </w:p>
        </w:tc>
        <w:tc>
          <w:tcPr>
            <w:tcW w:w="2182" w:type="pct"/>
            <w:vAlign w:val="center"/>
          </w:tcPr>
          <w:p>
            <w:pPr>
              <w:adjustRightInd w:val="0"/>
              <w:snapToGrid w:val="0"/>
              <w:spacing w:line="240" w:lineRule="auto"/>
              <w:ind w:firstLine="0" w:firstLineChars="0"/>
              <w:jc w:val="center"/>
              <w:rPr>
                <w:sz w:val="24"/>
                <w:szCs w:val="24"/>
              </w:rPr>
            </w:pPr>
            <w:r>
              <w:rPr>
                <w:rFonts w:hint="eastAsia"/>
                <w:sz w:val="24"/>
                <w:szCs w:val="24"/>
              </w:rPr>
              <w:t>重点建设用地</w:t>
            </w:r>
            <w:r>
              <w:rPr>
                <w:sz w:val="24"/>
                <w:szCs w:val="24"/>
              </w:rPr>
              <w:t>安全利用率</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有效保障</w:t>
            </w:r>
          </w:p>
        </w:tc>
        <w:tc>
          <w:tcPr>
            <w:tcW w:w="546" w:type="pct"/>
            <w:vAlign w:val="center"/>
          </w:tcPr>
          <w:p>
            <w:pPr>
              <w:widowControl/>
              <w:adjustRightInd w:val="0"/>
              <w:snapToGrid w:val="0"/>
              <w:spacing w:line="240" w:lineRule="auto"/>
              <w:ind w:firstLine="0" w:firstLineChars="0"/>
              <w:jc w:val="center"/>
              <w:rPr>
                <w:kern w:val="0"/>
                <w:sz w:val="24"/>
                <w:szCs w:val="24"/>
              </w:rPr>
            </w:pPr>
            <w:r>
              <w:rPr>
                <w:sz w:val="24"/>
                <w:szCs w:val="24"/>
                <w:lang w:val="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restart"/>
            <w:vAlign w:val="center"/>
          </w:tcPr>
          <w:p>
            <w:pPr>
              <w:adjustRightInd w:val="0"/>
              <w:snapToGrid w:val="0"/>
              <w:spacing w:line="240" w:lineRule="auto"/>
              <w:ind w:firstLine="0" w:firstLineChars="0"/>
              <w:jc w:val="center"/>
              <w:rPr>
                <w:sz w:val="24"/>
                <w:szCs w:val="24"/>
              </w:rPr>
            </w:pPr>
            <w:r>
              <w:rPr>
                <w:bCs/>
                <w:sz w:val="24"/>
                <w:szCs w:val="24"/>
              </w:rPr>
              <w:t>污染物排放量</w:t>
            </w:r>
          </w:p>
        </w:tc>
        <w:tc>
          <w:tcPr>
            <w:tcW w:w="268" w:type="pct"/>
            <w:vAlign w:val="center"/>
          </w:tcPr>
          <w:p>
            <w:pPr>
              <w:adjustRightInd w:val="0"/>
              <w:snapToGrid w:val="0"/>
              <w:spacing w:line="240" w:lineRule="auto"/>
              <w:ind w:firstLine="0" w:firstLineChars="0"/>
              <w:jc w:val="center"/>
              <w:rPr>
                <w:sz w:val="24"/>
                <w:szCs w:val="24"/>
              </w:rPr>
            </w:pPr>
            <w:r>
              <w:rPr>
                <w:sz w:val="24"/>
                <w:szCs w:val="24"/>
              </w:rPr>
              <w:t>10</w:t>
            </w:r>
          </w:p>
        </w:tc>
        <w:tc>
          <w:tcPr>
            <w:tcW w:w="2182" w:type="pct"/>
            <w:vAlign w:val="center"/>
          </w:tcPr>
          <w:p>
            <w:pPr>
              <w:adjustRightInd w:val="0"/>
              <w:snapToGrid w:val="0"/>
              <w:spacing w:line="240" w:lineRule="auto"/>
              <w:ind w:firstLine="0" w:firstLineChars="0"/>
              <w:jc w:val="center"/>
              <w:rPr>
                <w:sz w:val="24"/>
                <w:szCs w:val="24"/>
              </w:rPr>
            </w:pPr>
            <w:r>
              <w:rPr>
                <w:sz w:val="24"/>
                <w:szCs w:val="24"/>
                <w:lang w:val="zh-CN"/>
              </w:rPr>
              <w:t>氮氧化物</w:t>
            </w:r>
            <w:r>
              <w:rPr>
                <w:rFonts w:hint="eastAsia"/>
                <w:sz w:val="24"/>
                <w:szCs w:val="24"/>
              </w:rPr>
              <w:t>重点工程减排量</w:t>
            </w:r>
            <w:r>
              <w:rPr>
                <w:rFonts w:hint="eastAsia"/>
                <w:kern w:val="0"/>
                <w:sz w:val="24"/>
                <w:szCs w:val="24"/>
              </w:rPr>
              <w:t>（</w:t>
            </w:r>
            <w:r>
              <w:rPr>
                <w:rFonts w:hint="eastAsia"/>
                <w:sz w:val="24"/>
                <w:szCs w:val="24"/>
              </w:rPr>
              <w:t>吨</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lang w:val="zh-CN"/>
              </w:rPr>
            </w:pPr>
            <w:r>
              <w:rPr>
                <w:rFonts w:hint="eastAsia"/>
                <w:sz w:val="24"/>
                <w:szCs w:val="24"/>
                <w:lang w:val="zh-CN"/>
              </w:rPr>
              <w:t>—</w:t>
            </w:r>
          </w:p>
        </w:tc>
        <w:tc>
          <w:tcPr>
            <w:tcW w:w="848" w:type="pct"/>
            <w:vAlign w:val="center"/>
          </w:tcPr>
          <w:p>
            <w:pPr>
              <w:adjustRightInd w:val="0"/>
              <w:snapToGrid w:val="0"/>
              <w:spacing w:line="240" w:lineRule="auto"/>
              <w:ind w:firstLine="0" w:firstLineChars="0"/>
              <w:jc w:val="center"/>
              <w:rPr>
                <w:sz w:val="24"/>
                <w:szCs w:val="24"/>
                <w:lang w:val="zh-CN"/>
              </w:rPr>
            </w:pPr>
            <w:r>
              <w:rPr>
                <w:rFonts w:hint="eastAsia"/>
                <w:sz w:val="24"/>
                <w:szCs w:val="24"/>
              </w:rPr>
              <w:t>达到白山市考核目标</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bCs/>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11</w:t>
            </w:r>
          </w:p>
        </w:tc>
        <w:tc>
          <w:tcPr>
            <w:tcW w:w="2182" w:type="pct"/>
            <w:vAlign w:val="center"/>
          </w:tcPr>
          <w:p>
            <w:pPr>
              <w:adjustRightInd w:val="0"/>
              <w:snapToGrid w:val="0"/>
              <w:spacing w:line="240" w:lineRule="auto"/>
              <w:ind w:firstLine="0" w:firstLineChars="0"/>
              <w:jc w:val="center"/>
              <w:rPr>
                <w:sz w:val="24"/>
                <w:szCs w:val="24"/>
                <w:lang w:val="zh-CN"/>
              </w:rPr>
            </w:pPr>
            <w:r>
              <w:rPr>
                <w:rFonts w:hint="eastAsia"/>
                <w:sz w:val="24"/>
                <w:szCs w:val="24"/>
              </w:rPr>
              <w:t>挥发性有机物重点工程减排量</w:t>
            </w:r>
            <w:r>
              <w:rPr>
                <w:rFonts w:hint="eastAsia"/>
                <w:kern w:val="0"/>
                <w:sz w:val="24"/>
                <w:szCs w:val="24"/>
              </w:rPr>
              <w:t>（</w:t>
            </w:r>
            <w:r>
              <w:rPr>
                <w:rFonts w:hint="eastAsia"/>
                <w:sz w:val="24"/>
                <w:szCs w:val="24"/>
              </w:rPr>
              <w:t>吨</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lang w:val="zh-CN"/>
              </w:rPr>
            </w:pPr>
            <w:r>
              <w:rPr>
                <w:rFonts w:hint="eastAsia"/>
                <w:sz w:val="24"/>
                <w:szCs w:val="24"/>
                <w:lang w:val="zh-CN"/>
              </w:rPr>
              <w:t>—</w:t>
            </w:r>
          </w:p>
        </w:tc>
        <w:tc>
          <w:tcPr>
            <w:tcW w:w="848" w:type="pct"/>
            <w:vAlign w:val="center"/>
          </w:tcPr>
          <w:p>
            <w:pPr>
              <w:adjustRightInd w:val="0"/>
              <w:snapToGrid w:val="0"/>
              <w:spacing w:line="240" w:lineRule="auto"/>
              <w:ind w:firstLine="0" w:firstLineChars="0"/>
              <w:jc w:val="center"/>
              <w:rPr>
                <w:sz w:val="24"/>
                <w:szCs w:val="24"/>
                <w:lang w:val="zh-CN"/>
              </w:rPr>
            </w:pPr>
            <w:r>
              <w:rPr>
                <w:rFonts w:hint="eastAsia"/>
                <w:sz w:val="24"/>
                <w:szCs w:val="24"/>
              </w:rPr>
              <w:t>达到白山市考核目标</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bCs/>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12</w:t>
            </w:r>
          </w:p>
        </w:tc>
        <w:tc>
          <w:tcPr>
            <w:tcW w:w="2182" w:type="pct"/>
            <w:vAlign w:val="center"/>
          </w:tcPr>
          <w:p>
            <w:pPr>
              <w:adjustRightInd w:val="0"/>
              <w:snapToGrid w:val="0"/>
              <w:spacing w:line="240" w:lineRule="auto"/>
              <w:ind w:firstLine="0" w:firstLineChars="0"/>
              <w:jc w:val="center"/>
              <w:rPr>
                <w:sz w:val="24"/>
                <w:szCs w:val="24"/>
                <w:lang w:val="zh-CN"/>
              </w:rPr>
            </w:pPr>
            <w:r>
              <w:rPr>
                <w:sz w:val="24"/>
                <w:szCs w:val="24"/>
                <w:lang w:val="zh-CN"/>
              </w:rPr>
              <w:t>化学需氧量</w:t>
            </w:r>
            <w:r>
              <w:rPr>
                <w:rFonts w:hint="eastAsia"/>
                <w:sz w:val="24"/>
                <w:szCs w:val="24"/>
              </w:rPr>
              <w:t>重点工程减排量</w:t>
            </w:r>
            <w:r>
              <w:rPr>
                <w:rFonts w:hint="eastAsia"/>
                <w:kern w:val="0"/>
                <w:sz w:val="24"/>
                <w:szCs w:val="24"/>
              </w:rPr>
              <w:t>（</w:t>
            </w:r>
            <w:r>
              <w:rPr>
                <w:rFonts w:hint="eastAsia"/>
                <w:sz w:val="24"/>
                <w:szCs w:val="24"/>
              </w:rPr>
              <w:t>吨</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lang w:val="zh-CN"/>
              </w:rPr>
            </w:pPr>
            <w:r>
              <w:rPr>
                <w:rFonts w:hint="eastAsia"/>
                <w:sz w:val="24"/>
                <w:szCs w:val="24"/>
                <w:lang w:val="zh-CN"/>
              </w:rPr>
              <w:t>—</w:t>
            </w:r>
          </w:p>
        </w:tc>
        <w:tc>
          <w:tcPr>
            <w:tcW w:w="848" w:type="pct"/>
            <w:vAlign w:val="center"/>
          </w:tcPr>
          <w:p>
            <w:pPr>
              <w:adjustRightInd w:val="0"/>
              <w:snapToGrid w:val="0"/>
              <w:spacing w:line="240" w:lineRule="auto"/>
              <w:ind w:firstLine="0" w:firstLineChars="0"/>
              <w:jc w:val="center"/>
              <w:rPr>
                <w:sz w:val="24"/>
                <w:szCs w:val="24"/>
                <w:lang w:val="zh-CN"/>
              </w:rPr>
            </w:pPr>
            <w:r>
              <w:rPr>
                <w:rFonts w:hint="eastAsia"/>
                <w:sz w:val="24"/>
                <w:szCs w:val="24"/>
              </w:rPr>
              <w:t>达到白山市考核目标</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bCs/>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13</w:t>
            </w:r>
          </w:p>
        </w:tc>
        <w:tc>
          <w:tcPr>
            <w:tcW w:w="2182" w:type="pct"/>
            <w:vAlign w:val="center"/>
          </w:tcPr>
          <w:p>
            <w:pPr>
              <w:adjustRightInd w:val="0"/>
              <w:snapToGrid w:val="0"/>
              <w:spacing w:line="240" w:lineRule="auto"/>
              <w:ind w:firstLine="0" w:firstLineChars="0"/>
              <w:jc w:val="center"/>
              <w:rPr>
                <w:sz w:val="24"/>
                <w:szCs w:val="24"/>
                <w:lang w:val="zh-CN"/>
              </w:rPr>
            </w:pPr>
            <w:r>
              <w:rPr>
                <w:sz w:val="24"/>
                <w:szCs w:val="24"/>
                <w:lang w:val="zh-CN"/>
              </w:rPr>
              <w:t>氨氮</w:t>
            </w:r>
            <w:r>
              <w:rPr>
                <w:rFonts w:hint="eastAsia"/>
                <w:sz w:val="24"/>
                <w:szCs w:val="24"/>
              </w:rPr>
              <w:t>重点工程减排量</w:t>
            </w:r>
            <w:r>
              <w:rPr>
                <w:rFonts w:hint="eastAsia"/>
                <w:kern w:val="0"/>
                <w:sz w:val="24"/>
                <w:szCs w:val="24"/>
              </w:rPr>
              <w:t>（</w:t>
            </w:r>
            <w:r>
              <w:rPr>
                <w:rFonts w:hint="eastAsia"/>
                <w:sz w:val="24"/>
                <w:szCs w:val="24"/>
              </w:rPr>
              <w:t>吨</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lang w:val="zh-CN"/>
              </w:rPr>
            </w:pPr>
            <w:r>
              <w:rPr>
                <w:rFonts w:hint="eastAsia"/>
                <w:sz w:val="24"/>
                <w:szCs w:val="24"/>
                <w:lang w:val="zh-CN"/>
              </w:rPr>
              <w:t>—</w:t>
            </w:r>
          </w:p>
        </w:tc>
        <w:tc>
          <w:tcPr>
            <w:tcW w:w="848" w:type="pct"/>
            <w:vAlign w:val="center"/>
          </w:tcPr>
          <w:p>
            <w:pPr>
              <w:adjustRightInd w:val="0"/>
              <w:snapToGrid w:val="0"/>
              <w:spacing w:line="240" w:lineRule="auto"/>
              <w:ind w:firstLine="0" w:firstLineChars="0"/>
              <w:jc w:val="center"/>
              <w:rPr>
                <w:sz w:val="24"/>
                <w:szCs w:val="24"/>
                <w:lang w:val="zh-CN"/>
              </w:rPr>
            </w:pPr>
            <w:r>
              <w:rPr>
                <w:rFonts w:hint="eastAsia"/>
                <w:sz w:val="24"/>
                <w:szCs w:val="24"/>
              </w:rPr>
              <w:t>达到白山市考核目标</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restart"/>
            <w:vAlign w:val="center"/>
          </w:tcPr>
          <w:p>
            <w:pPr>
              <w:adjustRightInd w:val="0"/>
              <w:snapToGrid w:val="0"/>
              <w:spacing w:line="240" w:lineRule="auto"/>
              <w:ind w:firstLine="0" w:firstLineChars="0"/>
              <w:jc w:val="center"/>
              <w:rPr>
                <w:sz w:val="24"/>
                <w:szCs w:val="24"/>
              </w:rPr>
            </w:pPr>
            <w:r>
              <w:rPr>
                <w:sz w:val="24"/>
                <w:szCs w:val="24"/>
              </w:rPr>
              <w:t>生态安全维护</w:t>
            </w:r>
          </w:p>
        </w:tc>
        <w:tc>
          <w:tcPr>
            <w:tcW w:w="268" w:type="pct"/>
            <w:vAlign w:val="center"/>
          </w:tcPr>
          <w:p>
            <w:pPr>
              <w:adjustRightInd w:val="0"/>
              <w:snapToGrid w:val="0"/>
              <w:spacing w:line="240" w:lineRule="auto"/>
              <w:ind w:firstLine="0" w:firstLineChars="0"/>
              <w:jc w:val="center"/>
              <w:rPr>
                <w:sz w:val="24"/>
                <w:szCs w:val="24"/>
              </w:rPr>
            </w:pPr>
            <w:r>
              <w:rPr>
                <w:sz w:val="24"/>
                <w:szCs w:val="24"/>
              </w:rPr>
              <w:t>14</w:t>
            </w:r>
          </w:p>
        </w:tc>
        <w:tc>
          <w:tcPr>
            <w:tcW w:w="2182" w:type="pct"/>
            <w:vAlign w:val="center"/>
          </w:tcPr>
          <w:p>
            <w:pPr>
              <w:adjustRightInd w:val="0"/>
              <w:snapToGrid w:val="0"/>
              <w:spacing w:line="240" w:lineRule="auto"/>
              <w:ind w:firstLine="0" w:firstLineChars="0"/>
              <w:jc w:val="center"/>
              <w:rPr>
                <w:sz w:val="24"/>
                <w:szCs w:val="24"/>
                <w:lang w:val="zh-CN"/>
              </w:rPr>
            </w:pPr>
            <w:r>
              <w:rPr>
                <w:sz w:val="24"/>
                <w:szCs w:val="24"/>
                <w:lang w:val="zh-CN"/>
              </w:rPr>
              <w:t>森林覆盖率</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77.8</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77.8</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15</w:t>
            </w:r>
          </w:p>
        </w:tc>
        <w:tc>
          <w:tcPr>
            <w:tcW w:w="2182" w:type="pct"/>
            <w:vAlign w:val="center"/>
          </w:tcPr>
          <w:p>
            <w:pPr>
              <w:adjustRightInd w:val="0"/>
              <w:snapToGrid w:val="0"/>
              <w:spacing w:line="240" w:lineRule="auto"/>
              <w:ind w:firstLine="0" w:firstLineChars="0"/>
              <w:jc w:val="center"/>
              <w:rPr>
                <w:sz w:val="24"/>
                <w:szCs w:val="24"/>
              </w:rPr>
            </w:pPr>
            <w:r>
              <w:rPr>
                <w:sz w:val="24"/>
                <w:szCs w:val="24"/>
              </w:rPr>
              <w:t>生态环境状况指数（EI）</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w:t>
            </w:r>
          </w:p>
        </w:tc>
        <w:tc>
          <w:tcPr>
            <w:tcW w:w="848" w:type="pct"/>
            <w:vAlign w:val="center"/>
          </w:tcPr>
          <w:p>
            <w:pPr>
              <w:adjustRightInd w:val="0"/>
              <w:snapToGrid w:val="0"/>
              <w:spacing w:line="240" w:lineRule="auto"/>
              <w:ind w:firstLine="0" w:firstLineChars="0"/>
              <w:jc w:val="center"/>
              <w:rPr>
                <w:sz w:val="24"/>
                <w:szCs w:val="24"/>
              </w:rPr>
            </w:pPr>
            <w:r>
              <w:rPr>
                <w:rFonts w:hint="eastAsia"/>
                <w:sz w:val="24"/>
                <w:szCs w:val="24"/>
              </w:rPr>
              <w:t>稳中向好</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16</w:t>
            </w:r>
          </w:p>
        </w:tc>
        <w:tc>
          <w:tcPr>
            <w:tcW w:w="2182" w:type="pct"/>
            <w:vAlign w:val="center"/>
          </w:tcPr>
          <w:p>
            <w:pPr>
              <w:adjustRightInd w:val="0"/>
              <w:snapToGrid w:val="0"/>
              <w:spacing w:line="240" w:lineRule="auto"/>
              <w:ind w:firstLine="0" w:firstLineChars="0"/>
              <w:jc w:val="center"/>
              <w:rPr>
                <w:rFonts w:ascii="仿宋" w:hAnsi="仿宋"/>
                <w:sz w:val="24"/>
                <w:szCs w:val="24"/>
              </w:rPr>
            </w:pPr>
            <w:r>
              <w:rPr>
                <w:rFonts w:hint="eastAsia" w:ascii="仿宋" w:hAnsi="仿宋"/>
                <w:sz w:val="24"/>
                <w:szCs w:val="24"/>
              </w:rPr>
              <w:t>生态保护红线面积（平方公里）</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w:t>
            </w:r>
          </w:p>
        </w:tc>
        <w:tc>
          <w:tcPr>
            <w:tcW w:w="848" w:type="pct"/>
            <w:vAlign w:val="center"/>
          </w:tcPr>
          <w:p>
            <w:pPr>
              <w:adjustRightInd w:val="0"/>
              <w:snapToGrid w:val="0"/>
              <w:spacing w:line="240" w:lineRule="auto"/>
              <w:ind w:firstLine="0" w:firstLineChars="0"/>
              <w:jc w:val="center"/>
              <w:rPr>
                <w:sz w:val="24"/>
                <w:szCs w:val="24"/>
              </w:rPr>
            </w:pPr>
            <w:r>
              <w:rPr>
                <w:sz w:val="24"/>
                <w:szCs w:val="24"/>
              </w:rPr>
              <w:t>达到</w:t>
            </w:r>
            <w:r>
              <w:rPr>
                <w:rFonts w:hint="eastAsia"/>
                <w:sz w:val="24"/>
                <w:szCs w:val="24"/>
              </w:rPr>
              <w:t>白山市考核目标</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restart"/>
            <w:vAlign w:val="center"/>
          </w:tcPr>
          <w:p>
            <w:pPr>
              <w:adjustRightInd w:val="0"/>
              <w:snapToGrid w:val="0"/>
              <w:spacing w:line="240" w:lineRule="auto"/>
              <w:ind w:firstLine="0" w:firstLineChars="0"/>
              <w:jc w:val="center"/>
              <w:rPr>
                <w:bCs/>
                <w:sz w:val="24"/>
                <w:szCs w:val="24"/>
              </w:rPr>
            </w:pPr>
            <w:r>
              <w:rPr>
                <w:bCs/>
                <w:sz w:val="24"/>
                <w:szCs w:val="24"/>
              </w:rPr>
              <w:t>应对气候变化</w:t>
            </w:r>
          </w:p>
        </w:tc>
        <w:tc>
          <w:tcPr>
            <w:tcW w:w="268" w:type="pct"/>
            <w:vAlign w:val="center"/>
          </w:tcPr>
          <w:p>
            <w:pPr>
              <w:adjustRightInd w:val="0"/>
              <w:snapToGrid w:val="0"/>
              <w:spacing w:line="240" w:lineRule="auto"/>
              <w:ind w:firstLine="0" w:firstLineChars="0"/>
              <w:jc w:val="center"/>
              <w:rPr>
                <w:sz w:val="24"/>
                <w:szCs w:val="24"/>
              </w:rPr>
            </w:pPr>
            <w:r>
              <w:rPr>
                <w:sz w:val="24"/>
                <w:szCs w:val="24"/>
              </w:rPr>
              <w:t>17</w:t>
            </w:r>
          </w:p>
        </w:tc>
        <w:tc>
          <w:tcPr>
            <w:tcW w:w="2182" w:type="pct"/>
            <w:vAlign w:val="center"/>
          </w:tcPr>
          <w:p>
            <w:pPr>
              <w:adjustRightInd w:val="0"/>
              <w:snapToGrid w:val="0"/>
              <w:spacing w:line="240" w:lineRule="auto"/>
              <w:ind w:firstLine="0" w:firstLineChars="0"/>
              <w:jc w:val="center"/>
              <w:rPr>
                <w:sz w:val="24"/>
                <w:szCs w:val="24"/>
              </w:rPr>
            </w:pPr>
            <w:r>
              <w:rPr>
                <w:sz w:val="24"/>
                <w:szCs w:val="24"/>
              </w:rPr>
              <w:t>单位</w:t>
            </w:r>
            <w:r>
              <w:rPr>
                <w:rFonts w:hint="eastAsia"/>
                <w:sz w:val="24"/>
                <w:szCs w:val="24"/>
              </w:rPr>
              <w:t>GDP</w:t>
            </w:r>
            <w:r>
              <w:rPr>
                <w:sz w:val="24"/>
                <w:szCs w:val="24"/>
              </w:rPr>
              <w:t>二氧化碳排放降低</w:t>
            </w:r>
            <w:r>
              <w:rPr>
                <w:rFonts w:hint="eastAsia"/>
                <w:sz w:val="24"/>
                <w:szCs w:val="24"/>
              </w:rPr>
              <w:t>比例</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w:t>
            </w:r>
          </w:p>
        </w:tc>
        <w:tc>
          <w:tcPr>
            <w:tcW w:w="848" w:type="pct"/>
            <w:vAlign w:val="center"/>
          </w:tcPr>
          <w:p>
            <w:pPr>
              <w:adjustRightInd w:val="0"/>
              <w:snapToGrid w:val="0"/>
              <w:spacing w:line="240" w:lineRule="auto"/>
              <w:ind w:firstLine="0" w:firstLineChars="0"/>
              <w:jc w:val="center"/>
              <w:rPr>
                <w:sz w:val="24"/>
                <w:szCs w:val="24"/>
              </w:rPr>
            </w:pPr>
            <w:r>
              <w:rPr>
                <w:sz w:val="24"/>
                <w:szCs w:val="24"/>
              </w:rPr>
              <w:t>达到</w:t>
            </w:r>
            <w:r>
              <w:rPr>
                <w:rFonts w:hint="eastAsia"/>
                <w:sz w:val="24"/>
                <w:szCs w:val="24"/>
              </w:rPr>
              <w:t>白山市考核目标</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bCs/>
                <w:sz w:val="24"/>
                <w:szCs w:val="24"/>
              </w:rPr>
            </w:pPr>
          </w:p>
        </w:tc>
        <w:tc>
          <w:tcPr>
            <w:tcW w:w="268" w:type="pct"/>
            <w:vAlign w:val="center"/>
          </w:tcPr>
          <w:p>
            <w:pPr>
              <w:adjustRightInd w:val="0"/>
              <w:snapToGrid w:val="0"/>
              <w:spacing w:line="240" w:lineRule="auto"/>
              <w:ind w:firstLine="0" w:firstLineChars="0"/>
              <w:jc w:val="center"/>
              <w:rPr>
                <w:sz w:val="24"/>
                <w:szCs w:val="24"/>
              </w:rPr>
            </w:pPr>
            <w:r>
              <w:rPr>
                <w:sz w:val="24"/>
                <w:szCs w:val="24"/>
              </w:rPr>
              <w:t>18</w:t>
            </w:r>
          </w:p>
        </w:tc>
        <w:tc>
          <w:tcPr>
            <w:tcW w:w="2182" w:type="pct"/>
            <w:vAlign w:val="center"/>
          </w:tcPr>
          <w:p>
            <w:pPr>
              <w:adjustRightInd w:val="0"/>
              <w:snapToGrid w:val="0"/>
              <w:spacing w:line="240" w:lineRule="auto"/>
              <w:ind w:firstLine="0" w:firstLineChars="0"/>
              <w:jc w:val="center"/>
              <w:rPr>
                <w:sz w:val="24"/>
                <w:szCs w:val="24"/>
              </w:rPr>
            </w:pPr>
            <w:r>
              <w:rPr>
                <w:sz w:val="24"/>
                <w:szCs w:val="24"/>
              </w:rPr>
              <w:t>单位地区生产总值</w:t>
            </w:r>
            <w:r>
              <w:rPr>
                <w:rFonts w:hint="eastAsia"/>
                <w:sz w:val="24"/>
                <w:szCs w:val="24"/>
              </w:rPr>
              <w:t>能耗</w:t>
            </w:r>
            <w:r>
              <w:rPr>
                <w:sz w:val="24"/>
                <w:szCs w:val="24"/>
              </w:rPr>
              <w:t>排放降低</w:t>
            </w:r>
            <w:r>
              <w:rPr>
                <w:rFonts w:hint="eastAsia"/>
                <w:sz w:val="24"/>
                <w:szCs w:val="24"/>
              </w:rPr>
              <w:t>率</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w:t>
            </w:r>
          </w:p>
        </w:tc>
        <w:tc>
          <w:tcPr>
            <w:tcW w:w="848" w:type="pct"/>
            <w:vAlign w:val="center"/>
          </w:tcPr>
          <w:p>
            <w:pPr>
              <w:adjustRightInd w:val="0"/>
              <w:snapToGrid w:val="0"/>
              <w:spacing w:line="240" w:lineRule="auto"/>
              <w:ind w:firstLine="0" w:firstLineChars="0"/>
              <w:jc w:val="center"/>
              <w:rPr>
                <w:sz w:val="24"/>
                <w:szCs w:val="24"/>
              </w:rPr>
            </w:pPr>
            <w:r>
              <w:rPr>
                <w:sz w:val="24"/>
                <w:szCs w:val="24"/>
              </w:rPr>
              <w:t>达到</w:t>
            </w:r>
            <w:r>
              <w:rPr>
                <w:rFonts w:hint="eastAsia"/>
                <w:sz w:val="24"/>
                <w:szCs w:val="24"/>
              </w:rPr>
              <w:t>白山市考核目标</w:t>
            </w:r>
          </w:p>
        </w:tc>
        <w:tc>
          <w:tcPr>
            <w:tcW w:w="546" w:type="pct"/>
            <w:vAlign w:val="center"/>
          </w:tcPr>
          <w:p>
            <w:pPr>
              <w:adjustRightInd w:val="0"/>
              <w:snapToGrid w:val="0"/>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8" w:type="pct"/>
            <w:vMerge w:val="continue"/>
            <w:vAlign w:val="center"/>
          </w:tcPr>
          <w:p>
            <w:pPr>
              <w:adjustRightInd w:val="0"/>
              <w:snapToGrid w:val="0"/>
              <w:spacing w:line="240" w:lineRule="auto"/>
              <w:ind w:firstLine="0" w:firstLineChars="0"/>
              <w:jc w:val="center"/>
              <w:rPr>
                <w:bCs/>
                <w:sz w:val="24"/>
                <w:szCs w:val="24"/>
              </w:rPr>
            </w:pPr>
          </w:p>
        </w:tc>
        <w:tc>
          <w:tcPr>
            <w:tcW w:w="268" w:type="pct"/>
            <w:vAlign w:val="center"/>
          </w:tcPr>
          <w:p>
            <w:pPr>
              <w:adjustRightInd w:val="0"/>
              <w:snapToGrid w:val="0"/>
              <w:spacing w:line="240" w:lineRule="auto"/>
              <w:ind w:firstLine="0" w:firstLineChars="0"/>
              <w:jc w:val="center"/>
              <w:rPr>
                <w:sz w:val="24"/>
                <w:szCs w:val="24"/>
              </w:rPr>
            </w:pPr>
            <w:r>
              <w:rPr>
                <w:rFonts w:hint="eastAsia"/>
                <w:sz w:val="24"/>
                <w:szCs w:val="24"/>
              </w:rPr>
              <w:t>19</w:t>
            </w:r>
          </w:p>
        </w:tc>
        <w:tc>
          <w:tcPr>
            <w:tcW w:w="2182" w:type="pct"/>
            <w:vAlign w:val="center"/>
          </w:tcPr>
          <w:p>
            <w:pPr>
              <w:adjustRightInd w:val="0"/>
              <w:snapToGrid w:val="0"/>
              <w:spacing w:line="240" w:lineRule="auto"/>
              <w:ind w:firstLine="0" w:firstLineChars="0"/>
              <w:jc w:val="center"/>
              <w:rPr>
                <w:sz w:val="24"/>
                <w:szCs w:val="24"/>
              </w:rPr>
            </w:pPr>
            <w:r>
              <w:rPr>
                <w:sz w:val="24"/>
                <w:szCs w:val="24"/>
              </w:rPr>
              <w:t>非化石能源占一次能源消费比例</w:t>
            </w:r>
            <w:r>
              <w:rPr>
                <w:rFonts w:hint="eastAsia"/>
                <w:kern w:val="0"/>
                <w:sz w:val="24"/>
                <w:szCs w:val="24"/>
              </w:rPr>
              <w:t>（</w:t>
            </w:r>
            <w:r>
              <w:rPr>
                <w:sz w:val="24"/>
                <w:szCs w:val="24"/>
              </w:rPr>
              <w:t>%</w:t>
            </w:r>
            <w:r>
              <w:rPr>
                <w:rFonts w:hint="eastAsia"/>
                <w:kern w:val="0"/>
                <w:sz w:val="24"/>
                <w:szCs w:val="24"/>
              </w:rPr>
              <w:t>）</w:t>
            </w:r>
          </w:p>
        </w:tc>
        <w:tc>
          <w:tcPr>
            <w:tcW w:w="798" w:type="pct"/>
            <w:vAlign w:val="center"/>
          </w:tcPr>
          <w:p>
            <w:pPr>
              <w:adjustRightInd w:val="0"/>
              <w:snapToGrid w:val="0"/>
              <w:spacing w:line="240" w:lineRule="auto"/>
              <w:ind w:firstLine="0" w:firstLineChars="0"/>
              <w:jc w:val="center"/>
              <w:rPr>
                <w:sz w:val="24"/>
                <w:szCs w:val="24"/>
              </w:rPr>
            </w:pPr>
            <w:r>
              <w:rPr>
                <w:rFonts w:hint="eastAsia"/>
                <w:sz w:val="24"/>
                <w:szCs w:val="24"/>
              </w:rPr>
              <w:t>—</w:t>
            </w:r>
          </w:p>
        </w:tc>
        <w:tc>
          <w:tcPr>
            <w:tcW w:w="848" w:type="pct"/>
            <w:vAlign w:val="center"/>
          </w:tcPr>
          <w:p>
            <w:pPr>
              <w:adjustRightInd w:val="0"/>
              <w:snapToGrid w:val="0"/>
              <w:spacing w:line="240" w:lineRule="auto"/>
              <w:ind w:firstLine="0" w:firstLineChars="0"/>
              <w:jc w:val="center"/>
              <w:rPr>
                <w:sz w:val="24"/>
                <w:szCs w:val="24"/>
              </w:rPr>
            </w:pPr>
            <w:r>
              <w:rPr>
                <w:sz w:val="24"/>
                <w:szCs w:val="24"/>
              </w:rPr>
              <w:t>达到</w:t>
            </w:r>
            <w:r>
              <w:rPr>
                <w:rFonts w:hint="eastAsia"/>
                <w:sz w:val="24"/>
                <w:szCs w:val="24"/>
              </w:rPr>
              <w:t>白山市考核目标</w:t>
            </w:r>
          </w:p>
        </w:tc>
        <w:tc>
          <w:tcPr>
            <w:tcW w:w="546" w:type="pct"/>
            <w:vAlign w:val="center"/>
          </w:tcPr>
          <w:p>
            <w:pPr>
              <w:adjustRightInd w:val="0"/>
              <w:snapToGrid w:val="0"/>
              <w:spacing w:line="240" w:lineRule="auto"/>
              <w:ind w:firstLine="0" w:firstLineChars="0"/>
              <w:jc w:val="center"/>
              <w:rPr>
                <w:sz w:val="24"/>
                <w:szCs w:val="24"/>
              </w:rPr>
            </w:pPr>
            <w:r>
              <w:rPr>
                <w:sz w:val="24"/>
                <w:szCs w:val="24"/>
              </w:rPr>
              <w:t>预期性</w:t>
            </w:r>
          </w:p>
        </w:tc>
      </w:tr>
    </w:tbl>
    <w:p>
      <w:pPr>
        <w:pStyle w:val="3"/>
        <w:ind w:firstLine="643"/>
      </w:pPr>
      <w:bookmarkStart w:id="8" w:name="_Toc129926079"/>
      <w:r>
        <w:rPr>
          <w:rFonts w:hint="eastAsia"/>
        </w:rPr>
        <w:t>第四节 愿景展望</w:t>
      </w:r>
      <w:bookmarkEnd w:id="8"/>
    </w:p>
    <w:p>
      <w:pPr>
        <w:ind w:firstLine="640"/>
        <w:rPr>
          <w:rFonts w:cs="Times New Roman"/>
          <w:szCs w:val="32"/>
        </w:rPr>
      </w:pPr>
      <w:r>
        <w:rPr>
          <w:rFonts w:hint="eastAsia"/>
        </w:rPr>
        <w:t>到2035年，全县生态文明建设取得重大成效，生态文明体系全面形成；经济社会全面绿色转型，绿水青山与金山银山的转换通道全面畅通；</w:t>
      </w:r>
      <w:r>
        <w:t>生态环境根本好转，环境风险得到全面管控，山水林田湖草生态系统服务功能总体恢复；</w:t>
      </w:r>
      <w:r>
        <w:rPr>
          <w:rFonts w:hint="eastAsia"/>
        </w:rPr>
        <w:t>生态文明法规制度健全完善，环境治理体系和治理能力现代化基本实现；让人民群众在绿水青山中共享自然之美、生命之美、生活之美</w:t>
      </w:r>
      <w:r>
        <w:rPr>
          <w:rFonts w:hint="eastAsia" w:cs="Times New Roman"/>
          <w:szCs w:val="32"/>
        </w:rPr>
        <w:t>。</w:t>
      </w:r>
    </w:p>
    <w:p>
      <w:pPr>
        <w:pStyle w:val="2"/>
        <w:ind w:firstLine="640"/>
        <w:rPr>
          <w:rFonts w:eastAsia="仿宋" w:cs="Times New Roman"/>
          <w:b w:val="0"/>
          <w:bCs w:val="0"/>
          <w:kern w:val="2"/>
          <w:szCs w:val="32"/>
        </w:rPr>
        <w:sectPr>
          <w:pgSz w:w="11906" w:h="16838"/>
          <w:pgMar w:top="1418" w:right="1418" w:bottom="1418" w:left="1418" w:header="851" w:footer="992" w:gutter="0"/>
          <w:cols w:space="425" w:num="1"/>
          <w:docGrid w:type="lines" w:linePitch="312" w:charSpace="0"/>
        </w:sectPr>
      </w:pPr>
    </w:p>
    <w:p>
      <w:pPr>
        <w:pStyle w:val="2"/>
        <w:pageBreakBefore/>
        <w:ind w:firstLine="0" w:firstLineChars="0"/>
      </w:pPr>
      <w:bookmarkStart w:id="9" w:name="_Toc129926080"/>
      <w:r>
        <w:rPr>
          <w:rFonts w:hint="eastAsia"/>
        </w:rPr>
        <w:t>第三章 强化源头管控 推进绿色低碳发展</w:t>
      </w:r>
      <w:bookmarkEnd w:id="9"/>
    </w:p>
    <w:p>
      <w:pPr>
        <w:ind w:firstLine="640"/>
      </w:pPr>
      <w:r>
        <w:rPr>
          <w:rFonts w:hint="eastAsia"/>
        </w:rPr>
        <w:t>坚持节约资源和保护环境的基本国策，促进绿色低碳循环发展，推动经济可持续发展。以碳达峰、碳中和为统领，强化源头管控和治理，全面推动能源结构调整，加快建立健全绿色低碳循环发展体系。</w:t>
      </w:r>
    </w:p>
    <w:p>
      <w:pPr>
        <w:pStyle w:val="3"/>
        <w:ind w:firstLine="643"/>
      </w:pPr>
      <w:bookmarkStart w:id="10" w:name="_Toc129926081"/>
      <w:r>
        <w:rPr>
          <w:rFonts w:hint="eastAsia"/>
        </w:rPr>
        <w:t>第一节 优化国土空间格局</w:t>
      </w:r>
      <w:bookmarkEnd w:id="10"/>
    </w:p>
    <w:p>
      <w:pPr>
        <w:ind w:firstLine="643"/>
      </w:pPr>
      <w:r>
        <w:rPr>
          <w:rFonts w:hint="eastAsia"/>
          <w:b/>
        </w:rPr>
        <w:t>加强生态环境分区管控。</w:t>
      </w:r>
      <w:r>
        <w:rPr>
          <w:rFonts w:hint="eastAsia"/>
        </w:rPr>
        <w:t>充分应用国土空间规划、“三线一单”研究成果，以环境管控单元为单位，精准制定生态环境准入清单。加强“三线一单”成果在政策制定、规划实施、环境准入、园区管理、执法监督等方面的应用。强化规划环评引导，及时调整不符合生态环境功能定位的产业布局、结构和规模。（县工信局、县发改局、县生态环境局、</w:t>
      </w:r>
      <w:r>
        <w:rPr>
          <w:rFonts w:hint="eastAsia"/>
          <w:lang w:eastAsia="zh-CN"/>
        </w:rPr>
        <w:t>县经济开发区、保护区管理局</w:t>
      </w:r>
      <w:r>
        <w:rPr>
          <w:rFonts w:hint="eastAsia"/>
        </w:rPr>
        <w:t>按职责分工负责）</w:t>
      </w:r>
    </w:p>
    <w:p>
      <w:pPr>
        <w:ind w:firstLine="643"/>
      </w:pPr>
      <w:r>
        <w:rPr>
          <w:rFonts w:hint="eastAsia"/>
          <w:b/>
        </w:rPr>
        <w:t>严守耕地保护红线。</w:t>
      </w:r>
      <w:r>
        <w:rPr>
          <w:rFonts w:hint="eastAsia"/>
        </w:rPr>
        <w:t>实行最严格的耕地保护制度，遏制耕地“非农化”，严格管控耕地“非粮化”。持续推进农村人居环境整治，加大农业面源、畜禽养殖污染治理力度，改善耕地土壤环境质量，保障农产品安全。（县自然资源局、县农业农村局、县生态环境局按职责分工负责）</w:t>
      </w:r>
    </w:p>
    <w:p>
      <w:pPr>
        <w:ind w:firstLine="643"/>
      </w:pPr>
      <w:r>
        <w:rPr>
          <w:rFonts w:hint="eastAsia"/>
          <w:b/>
        </w:rPr>
        <w:t>强化重点生态功能区保护。</w:t>
      </w:r>
      <w:r>
        <w:rPr>
          <w:rFonts w:hint="eastAsia"/>
        </w:rPr>
        <w:t>以自然保护区、地质公园、森林公园、饮用水源地等各类自然保护地为重点，严禁不符合主体功能区定位的各类开发活动。加强吉林靖宇国家级自然保护区、长白山天然矿泉水靖宇水源保护区、吉林红石国家森林公园、吉林靖宇矿泉群国家地质公园等保护力度。优化资金保障政策，制定实施生态保护与修复计划，推动县域生态环境质量不断改善。（县自然资源局、县生态环境局、县水利局、</w:t>
      </w:r>
      <w:r>
        <w:rPr>
          <w:rFonts w:hint="eastAsia"/>
          <w:lang w:eastAsia="zh-CN"/>
        </w:rPr>
        <w:t>保护区</w:t>
      </w:r>
      <w:r>
        <w:rPr>
          <w:rFonts w:hint="eastAsia"/>
        </w:rPr>
        <w:t>管理局按职责分工负责）</w:t>
      </w:r>
    </w:p>
    <w:p>
      <w:pPr>
        <w:pStyle w:val="3"/>
        <w:ind w:firstLine="643"/>
      </w:pPr>
      <w:bookmarkStart w:id="11" w:name="_Toc129926082"/>
      <w:r>
        <w:rPr>
          <w:rFonts w:hint="eastAsia"/>
        </w:rPr>
        <w:t>第二节 加快经济绿色转型</w:t>
      </w:r>
      <w:bookmarkEnd w:id="11"/>
    </w:p>
    <w:p>
      <w:pPr>
        <w:ind w:firstLine="643"/>
      </w:pPr>
      <w:r>
        <w:rPr>
          <w:rFonts w:hint="eastAsia"/>
          <w:b/>
        </w:rPr>
        <w:t>培育壮大生态产业。</w:t>
      </w:r>
      <w:r>
        <w:rPr>
          <w:rFonts w:hint="eastAsia"/>
        </w:rPr>
        <w:t>加快矿泉水开发利用和“围水产业”发展步伐，</w:t>
      </w:r>
      <w:r>
        <w:t>推进矿泉水产业延链、补链、强链，加大与农夫山泉、天士力等企业合作力度，</w:t>
      </w:r>
      <w:r>
        <w:rPr>
          <w:rFonts w:hint="eastAsia"/>
        </w:rPr>
        <w:t>持续提高产业贡献率；</w:t>
      </w:r>
      <w:r>
        <w:t>深度融入</w:t>
      </w:r>
      <w:r>
        <w:rPr>
          <w:rFonts w:hint="eastAsia"/>
        </w:rPr>
        <w:t>“长辽梅通白延医药健康产业走廊”</w:t>
      </w:r>
      <w:r>
        <w:t>，支持同仁堂、炳华等医药企业技术攻关</w:t>
      </w:r>
      <w:r>
        <w:rPr>
          <w:rFonts w:hint="eastAsia"/>
        </w:rPr>
        <w:t>；加快靖宇经济开发区和白山经济开发区新区建设，培育壮大长白山食品药</w:t>
      </w:r>
      <w:bookmarkStart w:id="56" w:name="_GoBack"/>
      <w:r>
        <w:rPr>
          <w:rFonts w:hint="eastAsia"/>
        </w:rPr>
        <w:t>品、矿泉水、新材</w:t>
      </w:r>
      <w:bookmarkEnd w:id="56"/>
      <w:r>
        <w:rPr>
          <w:rFonts w:hint="eastAsia"/>
        </w:rPr>
        <w:t>料等特色产业园区，提高资源配置效率。（县发改局、县工信局按职责分工负责）</w:t>
      </w:r>
    </w:p>
    <w:p>
      <w:pPr>
        <w:ind w:firstLine="643"/>
      </w:pPr>
      <w:r>
        <w:rPr>
          <w:rFonts w:hint="eastAsia"/>
          <w:b/>
        </w:rPr>
        <w:t>大力发展生态旅游。</w:t>
      </w:r>
      <w:r>
        <w:rPr>
          <w:rFonts w:hint="eastAsia"/>
        </w:rPr>
        <w:t>深度挖掘优势旅游资源，以打响“英雄圣地、矿泉名城、北国药都、森林王国”四张名片为引领</w:t>
      </w:r>
      <w:r>
        <w:t>，整体提升靖宇旅游品牌影响力</w:t>
      </w:r>
      <w:r>
        <w:rPr>
          <w:rFonts w:hint="eastAsia"/>
        </w:rPr>
        <w:t>。加快推进冰雪旅游休闲度假区建设，培育发展冰雪运动、冰雪旅游、冰雪文化全产业链，实现“白雪换白银”；深入推进红色精品旅游路线，弘扬抗联文化，打造具有靖宇特色的红色旅游产业；推进乡村旅游重点村建设，</w:t>
      </w:r>
      <w:r>
        <w:t>继续申报各类名镇、名村</w:t>
      </w:r>
      <w:r>
        <w:rPr>
          <w:rFonts w:hint="eastAsia"/>
        </w:rPr>
        <w:t>，积极</w:t>
      </w:r>
      <w:r>
        <w:t>打造花海、漂流、民宿、采摘等乡村旅游</w:t>
      </w:r>
      <w:r>
        <w:rPr>
          <w:rFonts w:hint="eastAsia"/>
        </w:rPr>
        <w:t>项目。（县发改局、县文化广播电视和旅游局、县农业农村局、县工信局、</w:t>
      </w:r>
      <w:r>
        <w:rPr>
          <w:rFonts w:hint="eastAsia"/>
          <w:lang w:eastAsia="zh-CN"/>
        </w:rPr>
        <w:t>县自然资源局</w:t>
      </w:r>
      <w:r>
        <w:rPr>
          <w:rFonts w:hint="eastAsia"/>
        </w:rPr>
        <w:t>按职责分工负责）</w:t>
      </w:r>
    </w:p>
    <w:p>
      <w:pPr>
        <w:ind w:firstLine="643"/>
      </w:pPr>
      <w:r>
        <w:rPr>
          <w:rFonts w:hint="eastAsia"/>
          <w:b/>
        </w:rPr>
        <w:t>推进农业绿色发展。</w:t>
      </w:r>
      <w:r>
        <w:rPr>
          <w:rFonts w:hint="eastAsia"/>
        </w:rPr>
        <w:t>发展建设标准化基地和特色小镇，巩固平贝母、林蛙油、北五味子全国最大集散地地位，创建国家级农业绿色发展先行区。</w:t>
      </w:r>
      <w:r>
        <w:t>调优种植结构和品种结构，稳定人参、天麻等中药材种植面积，繁育和推广蓝莓优良品种，促进棚膜蔬菜、经济林果、中药材、食用菌、林下及林特产业高质量发展</w:t>
      </w:r>
      <w:r>
        <w:rPr>
          <w:rFonts w:hint="eastAsia"/>
        </w:rPr>
        <w:t>。</w:t>
      </w:r>
      <w:r>
        <w:t>挖掘农业产业全链条增值潜力</w:t>
      </w:r>
      <w:r>
        <w:rPr>
          <w:rFonts w:hint="eastAsia"/>
        </w:rPr>
        <w:t>，</w:t>
      </w:r>
      <w:r>
        <w:t>推进国家粮食安全产业带建设</w:t>
      </w:r>
      <w:r>
        <w:rPr>
          <w:rFonts w:hint="eastAsia"/>
        </w:rPr>
        <w:t>，</w:t>
      </w:r>
      <w:r>
        <w:t>全面落实</w:t>
      </w:r>
      <w:r>
        <w:rPr>
          <w:rFonts w:hint="eastAsia"/>
        </w:rPr>
        <w:t>“秸秆变肉”</w:t>
      </w:r>
      <w:r>
        <w:t>工程，</w:t>
      </w:r>
      <w:r>
        <w:rPr>
          <w:rFonts w:hint="eastAsia"/>
        </w:rPr>
        <w:t>扩大</w:t>
      </w:r>
      <w:r>
        <w:t>肉牛</w:t>
      </w:r>
      <w:r>
        <w:rPr>
          <w:rFonts w:hint="eastAsia"/>
        </w:rPr>
        <w:t>、</w:t>
      </w:r>
      <w:r>
        <w:t>种鹿</w:t>
      </w:r>
      <w:r>
        <w:rPr>
          <w:rFonts w:hint="eastAsia"/>
        </w:rPr>
        <w:t>、</w:t>
      </w:r>
      <w:r>
        <w:t>肉鸡等养殖规模</w:t>
      </w:r>
      <w:r>
        <w:rPr>
          <w:rFonts w:hint="eastAsia"/>
        </w:rPr>
        <w:t>，提高农业产业效益。</w:t>
      </w:r>
      <w:r>
        <w:t>（</w:t>
      </w:r>
      <w:r>
        <w:rPr>
          <w:rFonts w:hint="eastAsia"/>
        </w:rPr>
        <w:t>县发改局、县农业农村局、县工信局按职责分工负责</w:t>
      </w:r>
      <w:r>
        <w:t>）</w:t>
      </w:r>
    </w:p>
    <w:p>
      <w:pPr>
        <w:pStyle w:val="3"/>
        <w:ind w:firstLine="643"/>
      </w:pPr>
      <w:bookmarkStart w:id="12" w:name="_Toc129926083"/>
      <w:r>
        <w:rPr>
          <w:rFonts w:hint="eastAsia"/>
        </w:rPr>
        <w:t>第三节 推动能源结构调整</w:t>
      </w:r>
      <w:bookmarkEnd w:id="12"/>
    </w:p>
    <w:p>
      <w:pPr>
        <w:ind w:firstLine="643"/>
      </w:pPr>
      <w:r>
        <w:rPr>
          <w:rFonts w:hint="eastAsia"/>
          <w:b/>
        </w:rPr>
        <w:t>提高绿色能源供给消费比例。</w:t>
      </w:r>
      <w:r>
        <w:rPr>
          <w:rFonts w:hint="eastAsia"/>
        </w:rPr>
        <w:t>控制煤炭使用量，开展煤炭减量化行动。大力推进风力发电、光伏发电、水力发电，建设</w:t>
      </w:r>
      <w:r>
        <w:t>华电集团风力发电、景山抽水蓄能电站</w:t>
      </w:r>
      <w:r>
        <w:rPr>
          <w:rFonts w:hint="eastAsia"/>
        </w:rPr>
        <w:t>等项目，构建以非化石能源为能源消费增量主体的清洁能源体系。全面推行绿色低碳建筑，提升节能标准。推广节能和新能源车辆，加大清洁能源公交工具等投运量，加快充电基础设施建设，补齐能源基础设施短板。到2025年，非化石能源占一次能源消费比例力争完成省、市下达指标。（县工信局、县农业农村局、县发改局、县住建局、县交通运输局按职责分工负责）</w:t>
      </w:r>
    </w:p>
    <w:p>
      <w:pPr>
        <w:ind w:firstLine="643"/>
      </w:pPr>
      <w:r>
        <w:rPr>
          <w:rFonts w:hint="eastAsia"/>
          <w:b/>
        </w:rPr>
        <w:t>严格落实产业准入要求。</w:t>
      </w:r>
      <w:r>
        <w:rPr>
          <w:rFonts w:hint="eastAsia"/>
        </w:rPr>
        <w:t>落实产业准入负面清单，发挥环评制度源头把控作用，限制引进和发展“两高”项目。充分运用“三线一单”研究成果，作为资源开发、产业布局和结构调整、城镇建设、重大项目选址的重要依据。严格能耗控制，执行严格的行业节能标准和排放标准，将新（改、扩）建项目用电指标纳入节能评估内容，加强新上项目主要工艺技术、用能设备的先进性审查，最大限度降低产品单位地区生产总值能耗。（县生态环境局、县自然资源局、县发改局、县工信局、县市场监督管理局按职责分工负责）</w:t>
      </w:r>
    </w:p>
    <w:p>
      <w:pPr>
        <w:ind w:firstLine="643"/>
      </w:pPr>
      <w:r>
        <w:rPr>
          <w:rFonts w:hint="eastAsia"/>
          <w:b/>
        </w:rPr>
        <w:t>推广供暖清洁化改造。</w:t>
      </w:r>
      <w:r>
        <w:rPr>
          <w:rFonts w:hint="eastAsia"/>
        </w:rPr>
        <w:t>坚持从实际出发，宜电则电、宜气则气、宜煤则煤、宜热则热。集中供热管网覆盖区域，实施燃煤减量化、集中化、清洁化改造。集中供热管网未能覆盖的区域以清洁燃料供应体系为依托，鼓励使用太阳能、生物质能、地热能等清洁能源。以乡镇为单元稳妥有序推进清洁能源替代生活散煤。（县发改局、县自然资源局、县生态环境局按职责分工负责）</w:t>
      </w:r>
    </w:p>
    <w:p>
      <w:pPr>
        <w:pStyle w:val="3"/>
        <w:ind w:firstLine="643"/>
      </w:pPr>
      <w:bookmarkStart w:id="13" w:name="_Toc129926084"/>
      <w:r>
        <w:rPr>
          <w:rFonts w:hint="eastAsia"/>
        </w:rPr>
        <w:t>第四节 积极应对气候变化</w:t>
      </w:r>
      <w:bookmarkEnd w:id="13"/>
    </w:p>
    <w:p>
      <w:pPr>
        <w:ind w:firstLine="643"/>
      </w:pPr>
      <w:r>
        <w:rPr>
          <w:rFonts w:hint="eastAsia"/>
          <w:b/>
        </w:rPr>
        <w:t>提升生态系统碳汇能力。</w:t>
      </w:r>
      <w:r>
        <w:rPr>
          <w:rFonts w:hint="eastAsia"/>
        </w:rPr>
        <w:t>强化国土空间规划和用途管控，严守生态保护红线，严控生态空间占用，稳定现有森林、湿地、土壤等固碳能力。严格控制新增建设用地规模，推动城乡存量建设用地盘活利用。实施森林质量精准提升工程，持续增加森林面积和蓄积量。强化湿地保护。开展耕地质量提升行动，提升生态农业碳汇。</w:t>
      </w:r>
      <w:r>
        <w:t>积极培育森林碳汇、林权交易等新型业态，推动生态资源资产深度开发、有效增值。</w:t>
      </w:r>
      <w:r>
        <w:rPr>
          <w:rFonts w:hint="eastAsia"/>
        </w:rPr>
        <w:t>（县发改局、县自然资源局、县生态环境局按职责分工负责）</w:t>
      </w:r>
    </w:p>
    <w:p>
      <w:pPr>
        <w:ind w:firstLine="643"/>
      </w:pPr>
      <w:r>
        <w:rPr>
          <w:rFonts w:hint="eastAsia"/>
          <w:b/>
        </w:rPr>
        <w:t>落实二氧化碳峰值目标。</w:t>
      </w:r>
      <w:r>
        <w:rPr>
          <w:rFonts w:hint="eastAsia"/>
        </w:rPr>
        <w:t>按照省、市分解任务，落实碳强度下降目标。以实现2030年碳达峰为目标导向，倒逼能源结构绿色低碳转型和生态环境质量协同改善。（县发改局、县生态环境局按职责分工负责）</w:t>
      </w:r>
    </w:p>
    <w:p>
      <w:pPr>
        <w:ind w:firstLine="643"/>
      </w:pPr>
      <w:r>
        <w:rPr>
          <w:rFonts w:hint="eastAsia"/>
          <w:b/>
        </w:rPr>
        <w:t>完成碳排放双控任务。</w:t>
      </w:r>
      <w:r>
        <w:rPr>
          <w:rFonts w:hint="eastAsia"/>
        </w:rPr>
        <w:t>按照省、市分解任务，落实碳排放总量和强度控制指标。统筹经济增长速度和控制能源消费总量协同发展，提升资源能源利用效率，建立能效、水效、环保“领跑者”新制度。全面构建低碳产业体系、调整优化能源结构、推动城镇低碳发展。（县工信局、县发改局、县生态环境局按职责分工负责）</w:t>
      </w:r>
    </w:p>
    <w:p>
      <w:pPr>
        <w:ind w:firstLine="643"/>
      </w:pPr>
      <w:r>
        <w:rPr>
          <w:rFonts w:hint="eastAsia"/>
          <w:b/>
        </w:rPr>
        <w:t>严格控制温室气体排放。</w:t>
      </w:r>
      <w:r>
        <w:rPr>
          <w:rFonts w:hint="eastAsia"/>
        </w:rPr>
        <w:t>实行差异化节能减碳措施，降低能源需求强度，减少存量排放。升级能源、建材等领域工艺技术，控制工业生产过程中温室气体排放量。加大对二氧化碳减排项目和技术创新的财政扶持力度。（县工信局、县发改局、县财政局、县市场监督管理局、县生态环境局按职责分工负责）</w:t>
      </w:r>
    </w:p>
    <w:p>
      <w:pPr>
        <w:ind w:firstLine="643"/>
      </w:pPr>
      <w:r>
        <w:rPr>
          <w:rFonts w:hint="eastAsia"/>
          <w:b/>
        </w:rPr>
        <w:t>引导绿色低碳生活方式。</w:t>
      </w:r>
      <w:r>
        <w:rPr>
          <w:rFonts w:hint="eastAsia"/>
        </w:rPr>
        <w:t>拓展绿色低碳宣传教育的广度和深度，促进全社会绿色低碳意识提升，加快形成全民参与的良好格局。鼓励绿色产品消费，探索通过发放消费券等方式，促进居民绿色消费。持续开展节约型机关、绿色家庭、绿色学校、绿色社区、绿色出行、绿色商场、绿色建筑等绿色生活低碳社会行动创建，引导公众积极践行绿色低碳的生活方式和消费模式。（县委宣传部、县发改局、县市场监督管理局、县教育局、县生态环境局、县文化广播电视和旅游局按职责分工负责）</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00" w:lineRule="auto"/>
              <w:ind w:firstLine="482"/>
              <w:jc w:val="center"/>
              <w:rPr>
                <w:sz w:val="24"/>
                <w:szCs w:val="24"/>
              </w:rPr>
            </w:pPr>
            <w:r>
              <w:rPr>
                <w:rFonts w:ascii="仿宋" w:hAnsi="仿宋"/>
                <w:b/>
                <w:sz w:val="24"/>
                <w:szCs w:val="24"/>
              </w:rPr>
              <w:t>专栏</w:t>
            </w:r>
            <w:r>
              <w:rPr>
                <w:b/>
                <w:sz w:val="24"/>
                <w:szCs w:val="24"/>
              </w:rPr>
              <w:t xml:space="preserve">1  </w:t>
            </w:r>
            <w:r>
              <w:rPr>
                <w:rFonts w:ascii="仿宋" w:hAnsi="仿宋"/>
                <w:b/>
                <w:sz w:val="24"/>
                <w:szCs w:val="24"/>
              </w:rPr>
              <w:t>绿色低碳发展工程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overflowPunct w:val="0"/>
              <w:topLinePunct/>
              <w:adjustRightInd w:val="0"/>
              <w:snapToGrid w:val="0"/>
              <w:spacing w:line="300" w:lineRule="auto"/>
              <w:ind w:firstLine="480"/>
              <w:rPr>
                <w:bCs/>
                <w:sz w:val="24"/>
                <w:szCs w:val="24"/>
              </w:rPr>
            </w:pPr>
            <w:r>
              <w:rPr>
                <w:rFonts w:ascii="仿宋" w:hAnsi="仿宋"/>
                <w:bCs/>
                <w:sz w:val="24"/>
                <w:szCs w:val="24"/>
              </w:rPr>
              <w:t>（一）清洁低碳能源建设工程。</w:t>
            </w:r>
          </w:p>
          <w:p>
            <w:pPr>
              <w:overflowPunct w:val="0"/>
              <w:topLinePunct/>
              <w:adjustRightInd w:val="0"/>
              <w:snapToGrid w:val="0"/>
              <w:spacing w:line="300" w:lineRule="auto"/>
              <w:ind w:firstLine="480"/>
              <w:rPr>
                <w:bCs/>
                <w:sz w:val="24"/>
                <w:szCs w:val="24"/>
              </w:rPr>
            </w:pPr>
            <w:r>
              <w:rPr>
                <w:rFonts w:hint="eastAsia" w:ascii="仿宋" w:hAnsi="仿宋"/>
                <w:bCs/>
                <w:sz w:val="24"/>
                <w:szCs w:val="24"/>
              </w:rPr>
              <w:t>建设华电集团风力发电、景山抽水蓄能电站等项目。</w:t>
            </w:r>
          </w:p>
          <w:p>
            <w:pPr>
              <w:overflowPunct w:val="0"/>
              <w:topLinePunct/>
              <w:adjustRightInd w:val="0"/>
              <w:snapToGrid w:val="0"/>
              <w:spacing w:line="300" w:lineRule="auto"/>
              <w:ind w:firstLine="480"/>
              <w:rPr>
                <w:bCs/>
                <w:sz w:val="24"/>
                <w:szCs w:val="24"/>
              </w:rPr>
            </w:pPr>
            <w:r>
              <w:rPr>
                <w:rFonts w:ascii="仿宋" w:hAnsi="仿宋"/>
                <w:bCs/>
                <w:sz w:val="24"/>
                <w:szCs w:val="24"/>
              </w:rPr>
              <w:t>（二）绿色农业建设工程。</w:t>
            </w:r>
          </w:p>
          <w:p>
            <w:pPr>
              <w:overflowPunct w:val="0"/>
              <w:topLinePunct/>
              <w:adjustRightInd w:val="0"/>
              <w:snapToGrid w:val="0"/>
              <w:spacing w:line="300" w:lineRule="auto"/>
              <w:ind w:firstLine="480"/>
              <w:rPr>
                <w:bCs/>
                <w:sz w:val="22"/>
              </w:rPr>
            </w:pPr>
            <w:r>
              <w:rPr>
                <w:rFonts w:ascii="仿宋" w:hAnsi="仿宋"/>
                <w:bCs/>
                <w:sz w:val="24"/>
                <w:szCs w:val="24"/>
              </w:rPr>
              <w:t>高标准农田建设工程。</w:t>
            </w:r>
          </w:p>
          <w:p>
            <w:pPr>
              <w:overflowPunct w:val="0"/>
              <w:topLinePunct/>
              <w:adjustRightInd w:val="0"/>
              <w:snapToGrid w:val="0"/>
              <w:spacing w:line="300" w:lineRule="auto"/>
              <w:ind w:firstLine="480"/>
              <w:rPr>
                <w:bCs/>
                <w:sz w:val="24"/>
                <w:szCs w:val="24"/>
              </w:rPr>
            </w:pPr>
            <w:r>
              <w:rPr>
                <w:rFonts w:hint="eastAsia" w:ascii="仿宋" w:hAnsi="仿宋"/>
                <w:bCs/>
                <w:sz w:val="24"/>
                <w:szCs w:val="24"/>
              </w:rPr>
              <w:t>“秸秆变肉”暨千万头肉牛建设工程，推动深商农牧肉牛扩繁增量、吉兴农业长白山雪山和牛、昇昇牧业寄养代繁以及育新种鹿二场、白羽肉鸡等项目达产达效。</w:t>
            </w:r>
          </w:p>
        </w:tc>
      </w:tr>
    </w:tbl>
    <w:p>
      <w:pPr>
        <w:ind w:firstLine="643" w:firstLineChars="0"/>
      </w:pPr>
    </w:p>
    <w:p>
      <w:pPr>
        <w:pStyle w:val="2"/>
        <w:pageBreakBefore/>
        <w:ind w:firstLine="0" w:firstLineChars="0"/>
        <w:sectPr>
          <w:pgSz w:w="11906" w:h="16838"/>
          <w:pgMar w:top="1440" w:right="1800" w:bottom="1440" w:left="1800" w:header="851" w:footer="992" w:gutter="0"/>
          <w:cols w:space="425" w:num="1"/>
          <w:docGrid w:type="lines" w:linePitch="312" w:charSpace="0"/>
        </w:sectPr>
      </w:pPr>
    </w:p>
    <w:p>
      <w:pPr>
        <w:pStyle w:val="2"/>
        <w:pageBreakBefore/>
        <w:ind w:firstLine="0" w:firstLineChars="0"/>
      </w:pPr>
      <w:bookmarkStart w:id="14" w:name="_Toc129926085"/>
      <w:r>
        <w:rPr>
          <w:rFonts w:hint="eastAsia"/>
        </w:rPr>
        <w:t>第四章 坚持协同治理 提升大气环境质量</w:t>
      </w:r>
      <w:bookmarkEnd w:id="14"/>
    </w:p>
    <w:p>
      <w:pPr>
        <w:ind w:firstLine="640"/>
        <w:contextualSpacing/>
        <w:rPr>
          <w:rFonts w:cs="Times New Roman"/>
          <w:szCs w:val="32"/>
        </w:rPr>
      </w:pPr>
      <w:r>
        <w:rPr>
          <w:rFonts w:cs="Times New Roman"/>
          <w:szCs w:val="32"/>
        </w:rPr>
        <w:t>深入打好蓝天保卫战</w:t>
      </w:r>
      <w:r>
        <w:rPr>
          <w:rFonts w:hint="eastAsia" w:cs="Times New Roman"/>
          <w:szCs w:val="32"/>
        </w:rPr>
        <w:t>，</w:t>
      </w:r>
      <w:r>
        <w:rPr>
          <w:rFonts w:cs="Times New Roman"/>
          <w:szCs w:val="32"/>
        </w:rPr>
        <w:t>突出抓好细颗粒物和臭氧协同控制</w:t>
      </w:r>
      <w:r>
        <w:rPr>
          <w:rFonts w:hint="eastAsia" w:cs="Times New Roman"/>
          <w:szCs w:val="32"/>
        </w:rPr>
        <w:t>，</w:t>
      </w:r>
      <w:r>
        <w:rPr>
          <w:rFonts w:cs="Times New Roman"/>
          <w:szCs w:val="32"/>
        </w:rPr>
        <w:t>加强其他污染物协同治理</w:t>
      </w:r>
      <w:r>
        <w:rPr>
          <w:rFonts w:hint="eastAsia" w:cs="Times New Roman"/>
          <w:szCs w:val="32"/>
        </w:rPr>
        <w:t>，</w:t>
      </w:r>
      <w:r>
        <w:rPr>
          <w:rFonts w:cs="Times New Roman"/>
          <w:szCs w:val="32"/>
        </w:rPr>
        <w:t>强化区域</w:t>
      </w:r>
      <w:r>
        <w:rPr>
          <w:rFonts w:hint="eastAsia" w:cs="Times New Roman"/>
          <w:szCs w:val="32"/>
        </w:rPr>
        <w:t>、</w:t>
      </w:r>
      <w:r>
        <w:rPr>
          <w:rFonts w:cs="Times New Roman"/>
          <w:szCs w:val="32"/>
        </w:rPr>
        <w:t>时段</w:t>
      </w:r>
      <w:r>
        <w:rPr>
          <w:rFonts w:hint="eastAsia" w:cs="Times New Roman"/>
          <w:szCs w:val="32"/>
        </w:rPr>
        <w:t>、</w:t>
      </w:r>
      <w:r>
        <w:rPr>
          <w:rFonts w:cs="Times New Roman"/>
          <w:szCs w:val="32"/>
        </w:rPr>
        <w:t>重点污染物差异化管控，有效应对重污染天气，</w:t>
      </w:r>
      <w:r>
        <w:rPr>
          <w:rFonts w:hint="eastAsia" w:cs="Times New Roman"/>
          <w:szCs w:val="32"/>
        </w:rPr>
        <w:t>统筹推进空气质量巩固提升。</w:t>
      </w:r>
    </w:p>
    <w:p>
      <w:pPr>
        <w:pStyle w:val="3"/>
        <w:ind w:firstLine="643"/>
      </w:pPr>
      <w:bookmarkStart w:id="15" w:name="_Toc129926086"/>
      <w:r>
        <w:rPr>
          <w:rFonts w:hint="eastAsia"/>
        </w:rPr>
        <w:t>第一节 加强污染物协同控制</w:t>
      </w:r>
      <w:bookmarkEnd w:id="15"/>
    </w:p>
    <w:p>
      <w:pPr>
        <w:ind w:firstLine="643"/>
        <w:contextualSpacing/>
        <w:rPr>
          <w:rFonts w:cs="Times New Roman"/>
          <w:szCs w:val="32"/>
        </w:rPr>
      </w:pPr>
      <w:r>
        <w:rPr>
          <w:rFonts w:hint="eastAsia" w:cs="Times New Roman"/>
          <w:b/>
          <w:szCs w:val="32"/>
        </w:rPr>
        <w:t>加强</w:t>
      </w:r>
      <w:r>
        <w:rPr>
          <w:rFonts w:cs="Times New Roman"/>
          <w:b/>
          <w:szCs w:val="32"/>
        </w:rPr>
        <w:t>细颗粒物和臭氧协同防治。</w:t>
      </w:r>
      <w:r>
        <w:rPr>
          <w:rFonts w:hint="eastAsia" w:cs="Times New Roman"/>
          <w:szCs w:val="32"/>
        </w:rPr>
        <w:t>统筹</w:t>
      </w:r>
      <w:r>
        <w:rPr>
          <w:rFonts w:cs="Times New Roman"/>
          <w:szCs w:val="32"/>
        </w:rPr>
        <w:t>考虑细颗粒物和臭氧污染区域传输规律及季节性特征</w:t>
      </w:r>
      <w:r>
        <w:rPr>
          <w:rFonts w:hint="eastAsia" w:cs="Times New Roman"/>
          <w:szCs w:val="32"/>
        </w:rPr>
        <w:t>，</w:t>
      </w:r>
      <w:r>
        <w:rPr>
          <w:rFonts w:cs="Times New Roman"/>
          <w:szCs w:val="32"/>
        </w:rPr>
        <w:t>制定分时段、分行业的差异化和精细化协同管控措施。</w:t>
      </w:r>
      <w:r>
        <w:rPr>
          <w:rFonts w:hint="eastAsia" w:cs="Times New Roman"/>
          <w:szCs w:val="32"/>
        </w:rPr>
        <w:t>春季开展重点时段秸秆焚烧专项巡查，夏季重点聚焦臭氧污染防治，秋冬季制定燃煤供热锅炉错时启炉方案。推进以秸秆还田为基础的“五化”利用。到2025年，</w:t>
      </w:r>
      <w:r>
        <w:rPr>
          <w:rFonts w:cs="Times New Roman"/>
          <w:szCs w:val="32"/>
        </w:rPr>
        <w:t>城市细颗粒物浓度控制在</w:t>
      </w:r>
      <w:r>
        <w:rPr>
          <w:rFonts w:hint="eastAsia" w:cs="Times New Roman"/>
          <w:szCs w:val="32"/>
        </w:rPr>
        <w:t>22微克/立方米以下，臭氧浓度保持稳定。</w:t>
      </w:r>
      <w:r>
        <w:rPr>
          <w:rFonts w:cs="Times New Roman"/>
          <w:szCs w:val="32"/>
        </w:rPr>
        <w:t>（</w:t>
      </w:r>
      <w:r>
        <w:rPr>
          <w:rFonts w:hint="eastAsia" w:cs="Times New Roman"/>
          <w:szCs w:val="32"/>
        </w:rPr>
        <w:t>县生态环境局、县工信局、县农业农村局等</w:t>
      </w:r>
      <w:r>
        <w:rPr>
          <w:rFonts w:cs="Times New Roman"/>
          <w:szCs w:val="32"/>
        </w:rPr>
        <w:t>相关部门按职责分工负责）</w:t>
      </w:r>
    </w:p>
    <w:p>
      <w:pPr>
        <w:ind w:firstLine="643"/>
        <w:rPr>
          <w:rFonts w:ascii="华文楷体" w:hAnsi="华文楷体" w:eastAsia="华文楷体" w:cs="华文楷体"/>
          <w:szCs w:val="32"/>
        </w:rPr>
      </w:pPr>
      <w:r>
        <w:rPr>
          <w:rFonts w:cs="Times New Roman"/>
          <w:b/>
          <w:bCs/>
          <w:szCs w:val="32"/>
        </w:rPr>
        <w:t>完善重污染天气应急响应体系。</w:t>
      </w:r>
      <w:r>
        <w:rPr>
          <w:rFonts w:cs="Times New Roman"/>
          <w:szCs w:val="32"/>
        </w:rPr>
        <w:t>完善重污染</w:t>
      </w:r>
      <w:r>
        <w:rPr>
          <w:rFonts w:hint="eastAsia" w:cs="Times New Roman"/>
          <w:szCs w:val="32"/>
        </w:rPr>
        <w:t>天气</w:t>
      </w:r>
      <w:r>
        <w:rPr>
          <w:rFonts w:cs="Times New Roman"/>
          <w:szCs w:val="32"/>
        </w:rPr>
        <w:t>预警应急的启动、响应、解除机制，畅通信息公开和公众监督渠道。</w:t>
      </w:r>
      <w:r>
        <w:rPr>
          <w:rFonts w:hint="eastAsia" w:cs="Times New Roman"/>
          <w:szCs w:val="32"/>
        </w:rPr>
        <w:t>生态环境部门健全与气象部门的沟通协作机制，提升空气质量监测、预警预报水平。</w:t>
      </w:r>
      <w:r>
        <w:rPr>
          <w:rFonts w:cs="Times New Roman"/>
          <w:szCs w:val="32"/>
        </w:rPr>
        <w:t>科学确定重污染期间细颗粒物和臭氧的管控措施</w:t>
      </w:r>
      <w:r>
        <w:rPr>
          <w:rFonts w:hint="eastAsia" w:cs="Times New Roman"/>
          <w:szCs w:val="32"/>
        </w:rPr>
        <w:t>，</w:t>
      </w:r>
      <w:r>
        <w:rPr>
          <w:rFonts w:cs="Times New Roman"/>
          <w:szCs w:val="32"/>
        </w:rPr>
        <w:t>制定污染源减排清单，完善重污染天气应急预案，实施工业企业</w:t>
      </w:r>
      <w:r>
        <w:rPr>
          <w:rFonts w:hint="eastAsia" w:cs="Times New Roman"/>
          <w:szCs w:val="32"/>
        </w:rPr>
        <w:t>“</w:t>
      </w:r>
      <w:r>
        <w:rPr>
          <w:rFonts w:cs="Times New Roman"/>
          <w:szCs w:val="32"/>
        </w:rPr>
        <w:t>一厂一策</w:t>
      </w:r>
      <w:r>
        <w:rPr>
          <w:rFonts w:hint="eastAsia" w:cs="Times New Roman"/>
          <w:szCs w:val="32"/>
        </w:rPr>
        <w:t>”</w:t>
      </w:r>
      <w:r>
        <w:rPr>
          <w:rFonts w:cs="Times New Roman"/>
          <w:szCs w:val="32"/>
        </w:rPr>
        <w:t>清单化管理，推动企业主动提高治污水平。到</w:t>
      </w:r>
      <w:r>
        <w:rPr>
          <w:rFonts w:hint="eastAsia" w:cs="Times New Roman"/>
          <w:szCs w:val="32"/>
        </w:rPr>
        <w:t>2025年，重污染天数比例保持为0%。</w:t>
      </w:r>
      <w:r>
        <w:rPr>
          <w:rFonts w:ascii="华文楷体" w:hAnsi="华文楷体" w:eastAsia="华文楷体" w:cs="华文楷体"/>
          <w:szCs w:val="32"/>
        </w:rPr>
        <w:t>（</w:t>
      </w:r>
      <w:r>
        <w:rPr>
          <w:rFonts w:hint="eastAsia" w:cs="Times New Roman"/>
          <w:szCs w:val="32"/>
        </w:rPr>
        <w:t>县</w:t>
      </w:r>
      <w:r>
        <w:rPr>
          <w:rFonts w:cs="Times New Roman"/>
          <w:szCs w:val="32"/>
        </w:rPr>
        <w:t>生态环境</w:t>
      </w:r>
      <w:r>
        <w:rPr>
          <w:rFonts w:hint="eastAsia" w:cs="Times New Roman"/>
          <w:szCs w:val="32"/>
        </w:rPr>
        <w:t>局、县气象局按职责分工负责</w:t>
      </w:r>
      <w:r>
        <w:rPr>
          <w:rFonts w:ascii="华文楷体" w:hAnsi="华文楷体" w:eastAsia="华文楷体" w:cs="华文楷体"/>
          <w:szCs w:val="32"/>
        </w:rPr>
        <w:t>）</w:t>
      </w:r>
    </w:p>
    <w:p>
      <w:pPr>
        <w:pStyle w:val="3"/>
        <w:ind w:firstLine="643"/>
      </w:pPr>
      <w:bookmarkStart w:id="16" w:name="_Toc129926087"/>
      <w:r>
        <w:rPr>
          <w:rFonts w:hint="eastAsia"/>
        </w:rPr>
        <w:t>第二节 严控重点污染物排放</w:t>
      </w:r>
      <w:bookmarkEnd w:id="16"/>
    </w:p>
    <w:p>
      <w:pPr>
        <w:ind w:firstLine="643"/>
        <w:contextualSpacing/>
        <w:rPr>
          <w:rFonts w:cs="Times New Roman"/>
          <w:bCs/>
          <w:szCs w:val="32"/>
        </w:rPr>
      </w:pPr>
      <w:r>
        <w:rPr>
          <w:rFonts w:hint="eastAsia" w:cs="Times New Roman"/>
          <w:b/>
          <w:szCs w:val="32"/>
        </w:rPr>
        <w:t>加大氮氧化物治理力度</w:t>
      </w:r>
      <w:r>
        <w:rPr>
          <w:rFonts w:cs="Times New Roman"/>
          <w:b/>
          <w:szCs w:val="32"/>
        </w:rPr>
        <w:t>。</w:t>
      </w:r>
      <w:r>
        <w:rPr>
          <w:rFonts w:cs="Times New Roman"/>
          <w:szCs w:val="32"/>
        </w:rPr>
        <w:t>推进重点燃煤企业</w:t>
      </w:r>
      <w:r>
        <w:rPr>
          <w:rFonts w:hint="eastAsia" w:cs="Times New Roman"/>
          <w:szCs w:val="32"/>
        </w:rPr>
        <w:t>超低排放改造，</w:t>
      </w:r>
      <w:r>
        <w:rPr>
          <w:rFonts w:cs="Times New Roman"/>
          <w:bCs/>
          <w:szCs w:val="32"/>
        </w:rPr>
        <w:t>实施</w:t>
      </w:r>
      <w:r>
        <w:rPr>
          <w:rFonts w:hint="eastAsia" w:cs="Times New Roman"/>
          <w:bCs/>
          <w:szCs w:val="32"/>
        </w:rPr>
        <w:t>宏业供热公司2台1</w:t>
      </w:r>
      <w:r>
        <w:rPr>
          <w:rFonts w:cs="Times New Roman"/>
          <w:bCs/>
          <w:szCs w:val="32"/>
        </w:rPr>
        <w:t>00</w:t>
      </w:r>
      <w:r>
        <w:rPr>
          <w:rFonts w:hint="eastAsia" w:cs="Times New Roman"/>
          <w:bCs/>
          <w:szCs w:val="32"/>
        </w:rPr>
        <w:t>t/h</w:t>
      </w:r>
      <w:r>
        <w:rPr>
          <w:rFonts w:cs="Times New Roman"/>
          <w:bCs/>
          <w:szCs w:val="32"/>
        </w:rPr>
        <w:t>烟气超低排放改造工程</w:t>
      </w:r>
      <w:r>
        <w:rPr>
          <w:rFonts w:hint="eastAsia" w:cs="Times New Roman"/>
          <w:bCs/>
          <w:szCs w:val="32"/>
        </w:rPr>
        <w:t>。严格控制重点企业物料储存、输送及生产工艺过程无组织排放。强重点排放单位监测监管。到2025年，氮氧化物减排量达到省、市下达指标。（县发改局、县生态环境局按职责分工负责）</w:t>
      </w:r>
    </w:p>
    <w:p>
      <w:pPr>
        <w:ind w:firstLine="643"/>
      </w:pPr>
      <w:r>
        <w:rPr>
          <w:rFonts w:hint="eastAsia"/>
          <w:b/>
        </w:rPr>
        <w:t>强化挥发性有机物治理。</w:t>
      </w:r>
      <w:r>
        <w:rPr>
          <w:rFonts w:hint="eastAsia"/>
        </w:rPr>
        <w:t>实施挥发性有机物排放总量控制制度，推进挥发性有机物综合治理，新建加油站、储油库和油罐车同步配套建设油气回收设施。推广使用低（无）VOCs的涂料、油墨、胶黏剂和清洗剂。（县生态环境局、县市场监督管理局按职责分工负责）</w:t>
      </w:r>
    </w:p>
    <w:p>
      <w:pPr>
        <w:pStyle w:val="3"/>
        <w:ind w:firstLine="643"/>
      </w:pPr>
      <w:bookmarkStart w:id="17" w:name="_Toc129926088"/>
      <w:r>
        <w:rPr>
          <w:rFonts w:hint="eastAsia"/>
        </w:rPr>
        <w:t>第三节 分类管控重点污染源</w:t>
      </w:r>
      <w:bookmarkEnd w:id="17"/>
    </w:p>
    <w:p>
      <w:pPr>
        <w:ind w:firstLine="643"/>
        <w:contextualSpacing/>
      </w:pPr>
      <w:r>
        <w:rPr>
          <w:rFonts w:hint="eastAsia"/>
          <w:b/>
        </w:rPr>
        <w:t>强化秸秆禁烧管控。</w:t>
      </w:r>
      <w:r>
        <w:rPr>
          <w:rFonts w:hint="eastAsia"/>
        </w:rPr>
        <w:t>严格实行全域焚烧措施，加大日常巡查力度，运用卫星监测、无人机和视频监控等信息化手段，全面开展巡查检查，严厉打击违法违规露天焚烧行为。持续推进秸秆综合化利用，按照肥料化和饲料化为主，能源化为辅，原料化和基料化为补充原则，提高秸秆综合利用能力和水平。（县生态环境局、县发改局、县公安局、县农业农村局按职责分工负责）</w:t>
      </w:r>
    </w:p>
    <w:p>
      <w:pPr>
        <w:ind w:firstLine="643"/>
        <w:rPr>
          <w:rFonts w:cs="Times New Roman"/>
          <w:szCs w:val="32"/>
        </w:rPr>
      </w:pPr>
      <w:r>
        <w:rPr>
          <w:rFonts w:hint="eastAsia"/>
          <w:b/>
        </w:rPr>
        <w:t>推进燃煤锅炉综合整治。</w:t>
      </w:r>
      <w:r>
        <w:rPr>
          <w:rFonts w:hint="eastAsia"/>
        </w:rPr>
        <w:t>严控新增燃煤锅炉，县城建成区原则上不再新建每小时35蒸吨以下燃煤锅炉，其他区域原则上不再新建每小时10蒸吨以下的燃煤锅炉。新建、扩建装机容量20万千瓦以下燃煤火电机组、65蒸吨及以上供热燃煤锅炉执行超低排放标准。加快供热管网建设，淘汰管网覆盖范围内的燃煤供热锅炉和散煤小锅炉。（县生态环境局、县工信局、县发改局、县住建局按职责分工负责）</w:t>
      </w:r>
    </w:p>
    <w:p>
      <w:pPr>
        <w:ind w:firstLine="643"/>
      </w:pPr>
      <w:r>
        <w:rPr>
          <w:rFonts w:hint="eastAsia"/>
          <w:b/>
        </w:rPr>
        <w:t>加大移动污染源整治力度。</w:t>
      </w:r>
      <w:r>
        <w:rPr>
          <w:rFonts w:hint="eastAsia"/>
        </w:rPr>
        <w:t>深入开展清洁柴油货车、清洁柴油机、清洁运输、清洁油品等专项行动，实施更加严格的车用汽油质量标准，深入开展机动车路检路查，到2025年，淘汰国三及以下排放标准营运柴油货车。严厉打击非法生产、销售不合格油品、燃气行为，全面保障油品质量。县城建成区主要道路全面实施机动车尾气道路检测，严禁未经环保检验和尾气超标车辆上路行驶。（县交通运输局、县公安局、县市场监督管理局、县生态环境局、县工信局按职责分工负责）</w:t>
      </w:r>
    </w:p>
    <w:p>
      <w:pPr>
        <w:ind w:firstLine="643"/>
        <w:rPr>
          <w:highlight w:val="none"/>
        </w:rPr>
      </w:pPr>
      <w:r>
        <w:rPr>
          <w:rFonts w:hint="eastAsia"/>
          <w:b/>
        </w:rPr>
        <w:t>实施扬尘污染精细化治理。</w:t>
      </w:r>
      <w:r>
        <w:rPr>
          <w:rFonts w:hint="eastAsia"/>
        </w:rPr>
        <w:t>开展扬尘污染专项整治行动，实施绿色施工方式，各类建筑、道路、市政等工程严格落实扬尘污染防治措施。沙土、水泥易产生扬尘的物料实行遮盖式储存，渣土运输车辆采取密闭措施，防止物料扬散。提高施工效率，减少道路开挖面积，及时修复破损路面。加大城市道路扬尘管控力度，增加道路清扫频次，保持道路洁净，积极推行城市道路机械化清扫，提高机械化清扫率。到2025年，城市主次干道机械化清扫率达到100%。实施城市道路硬化绿化工程，加快公园绿地、广场绿地、休闲绿地建设，扩大城市建成区绿地规模和硬化面积。加强城市建成区及周边区域生态修复，消除城市建成区内裸露地面。（县生态环境局、</w:t>
      </w:r>
      <w:r>
        <w:rPr>
          <w:rFonts w:hint="eastAsia"/>
          <w:highlight w:val="none"/>
          <w:lang w:eastAsia="zh-CN"/>
        </w:rPr>
        <w:t>县城市管理综合行政执法大队</w:t>
      </w:r>
      <w:r>
        <w:rPr>
          <w:rFonts w:hint="eastAsia"/>
          <w:highlight w:val="none"/>
        </w:rPr>
        <w:t>、县交通运输局、县自然资源局、县住建局按职责分工负责）</w:t>
      </w:r>
    </w:p>
    <w:p>
      <w:pPr>
        <w:ind w:firstLine="643"/>
        <w:contextualSpacing/>
        <w:rPr>
          <w:highlight w:val="none"/>
        </w:rPr>
      </w:pPr>
      <w:r>
        <w:rPr>
          <w:rFonts w:hint="eastAsia"/>
          <w:b/>
          <w:highlight w:val="none"/>
        </w:rPr>
        <w:t>加强餐饮业油烟治理。</w:t>
      </w:r>
      <w:r>
        <w:rPr>
          <w:rFonts w:hint="eastAsia"/>
          <w:highlight w:val="none"/>
        </w:rPr>
        <w:t>强化餐饮业油烟监管，新建、改建、扩建餐饮单位建设符合标准要求的高效油烟净化设施，加快现有餐饮单位达标改造。适时建立餐饮重点整治企业名录，实施“双随机”检查，督促餐饮油烟单位定期维护油烟净化设施，杜绝油烟净化设施无效运行。2025年底前，全县餐饮企业实现高效油烟净化设施安装全覆盖。（县生态环境局、</w:t>
      </w:r>
      <w:r>
        <w:rPr>
          <w:rFonts w:hint="eastAsia"/>
          <w:highlight w:val="none"/>
          <w:lang w:eastAsia="zh-CN"/>
        </w:rPr>
        <w:t>县城市管理综合行政执法大队</w:t>
      </w:r>
      <w:r>
        <w:rPr>
          <w:rFonts w:hint="eastAsia"/>
          <w:highlight w:val="none"/>
        </w:rPr>
        <w:t>按职责分工负责）</w:t>
      </w:r>
    </w:p>
    <w:p>
      <w:pPr>
        <w:pStyle w:val="3"/>
        <w:ind w:firstLine="643"/>
      </w:pPr>
      <w:bookmarkStart w:id="18" w:name="_Toc129926089"/>
      <w:r>
        <w:rPr>
          <w:rFonts w:hint="eastAsia"/>
        </w:rPr>
        <w:t>第四节 加强其他污染物防治</w:t>
      </w:r>
      <w:bookmarkEnd w:id="18"/>
    </w:p>
    <w:p>
      <w:pPr>
        <w:ind w:firstLine="643"/>
        <w:contextualSpacing/>
        <w:rPr>
          <w:rFonts w:hint="eastAsia" w:eastAsia="仿宋"/>
          <w:color w:val="auto"/>
          <w:lang w:eastAsia="zh-CN"/>
        </w:rPr>
      </w:pPr>
      <w:r>
        <w:rPr>
          <w:rFonts w:hint="eastAsia"/>
          <w:b/>
          <w:color w:val="auto"/>
        </w:rPr>
        <w:t>提高噪声污染防治水平。</w:t>
      </w:r>
      <w:r>
        <w:rPr>
          <w:rFonts w:hint="eastAsia"/>
          <w:color w:val="auto"/>
        </w:rPr>
        <w:t>从工业生产、建筑施工、道路交通、商业经营等重点领域入手，加强监管和集中整治力度，解决群众关心的突出噪声问题。科学规划住宅、学校等噪声敏感建筑物位置，噪声敏感建筑物隔声设计、检测、验收等应符合建筑环境通用规范、民用建筑隔声设计规范等相关标准要求。加大对在街道、广场、公园等公共场所组织或开展娱乐、促销、广场舞、体育锻炼等产生噪声污染活动的管理力度。</w:t>
      </w:r>
      <w:r>
        <w:rPr>
          <w:rFonts w:hint="eastAsia"/>
          <w:color w:val="auto"/>
          <w:lang w:eastAsia="zh-CN"/>
        </w:rPr>
        <w:t>（县住建局、县公安局、县生态环境局、县交运局</w:t>
      </w:r>
      <w:r>
        <w:rPr>
          <w:rFonts w:hint="eastAsia"/>
        </w:rPr>
        <w:t>按职责分工负责</w:t>
      </w:r>
      <w:r>
        <w:rPr>
          <w:rFonts w:hint="eastAsia"/>
          <w:color w:val="auto"/>
          <w:lang w:eastAsia="zh-CN"/>
        </w:rPr>
        <w:t>）</w:t>
      </w:r>
    </w:p>
    <w:p>
      <w:pPr>
        <w:ind w:firstLine="643"/>
        <w:contextualSpacing/>
      </w:pPr>
      <w:r>
        <w:rPr>
          <w:rFonts w:hint="eastAsia"/>
          <w:b/>
        </w:rPr>
        <w:t>加强</w:t>
      </w:r>
      <w:r>
        <w:rPr>
          <w:b/>
        </w:rPr>
        <w:t>恶臭污染物防治</w:t>
      </w:r>
      <w:r>
        <w:rPr>
          <w:rFonts w:hint="eastAsia"/>
          <w:b/>
        </w:rPr>
        <w:t>。</w:t>
      </w:r>
      <w:r>
        <w:rPr>
          <w:rFonts w:hint="eastAsia"/>
        </w:rPr>
        <w:t>加大养殖、屠宰等行业的恶臭污染物治理力度，推进养殖业氨减排。垃圾、污水集中式污染处理设施等加大密闭收集力度，着力解决群众身边的恶臭污染问题。（县农业农村局、县生态环境局、县住建局按职责分工负责）</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00" w:lineRule="auto"/>
              <w:ind w:firstLine="0" w:firstLineChars="0"/>
              <w:jc w:val="center"/>
              <w:rPr>
                <w:b/>
                <w:bCs/>
                <w:sz w:val="24"/>
                <w:szCs w:val="24"/>
              </w:rPr>
            </w:pPr>
            <w:r>
              <w:rPr>
                <w:rFonts w:ascii="仿宋" w:hAnsi="仿宋"/>
                <w:b/>
                <w:bCs/>
                <w:sz w:val="24"/>
                <w:szCs w:val="24"/>
              </w:rPr>
              <w:t>专栏</w:t>
            </w:r>
            <w:r>
              <w:rPr>
                <w:rFonts w:hint="eastAsia"/>
                <w:b/>
                <w:bCs/>
                <w:sz w:val="24"/>
                <w:szCs w:val="24"/>
              </w:rPr>
              <w:t>2</w:t>
            </w:r>
            <w:r>
              <w:rPr>
                <w:rFonts w:ascii="仿宋" w:hAnsi="仿宋"/>
                <w:b/>
                <w:bCs/>
                <w:sz w:val="24"/>
                <w:szCs w:val="24"/>
              </w:rPr>
              <w:t>　</w:t>
            </w:r>
            <w:r>
              <w:rPr>
                <w:rFonts w:hint="eastAsia" w:ascii="仿宋" w:hAnsi="仿宋"/>
                <w:b/>
                <w:bCs/>
                <w:sz w:val="24"/>
                <w:szCs w:val="24"/>
              </w:rPr>
              <w:t>大气污染防治工程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overflowPunct w:val="0"/>
              <w:topLinePunct/>
              <w:adjustRightInd w:val="0"/>
              <w:snapToGrid w:val="0"/>
              <w:spacing w:line="300" w:lineRule="auto"/>
              <w:ind w:firstLine="480"/>
              <w:rPr>
                <w:rFonts w:cs="Times New Roman"/>
                <w:bCs/>
                <w:sz w:val="24"/>
                <w:szCs w:val="24"/>
              </w:rPr>
            </w:pPr>
            <w:r>
              <w:rPr>
                <w:rFonts w:ascii="仿宋" w:hAnsi="仿宋" w:cs="Times New Roman"/>
                <w:bCs/>
                <w:sz w:val="24"/>
                <w:szCs w:val="24"/>
              </w:rPr>
              <w:t>（一）大气重点行业治理工程。</w:t>
            </w:r>
          </w:p>
          <w:p>
            <w:pPr>
              <w:overflowPunct w:val="0"/>
              <w:topLinePunct/>
              <w:adjustRightInd w:val="0"/>
              <w:snapToGrid w:val="0"/>
              <w:spacing w:line="300" w:lineRule="auto"/>
              <w:ind w:firstLine="480"/>
              <w:rPr>
                <w:rFonts w:cs="Times New Roman"/>
                <w:bCs/>
                <w:sz w:val="24"/>
                <w:szCs w:val="24"/>
              </w:rPr>
            </w:pPr>
            <w:r>
              <w:rPr>
                <w:rFonts w:ascii="仿宋" w:hAnsi="仿宋" w:cs="Times New Roman"/>
                <w:bCs/>
                <w:sz w:val="24"/>
                <w:szCs w:val="24"/>
              </w:rPr>
              <w:t>烟气超低排放改造工程。推动大型燃煤锅炉超低排放改造，实施</w:t>
            </w:r>
            <w:r>
              <w:rPr>
                <w:rFonts w:hint="eastAsia" w:ascii="仿宋" w:hAnsi="仿宋" w:cs="Times New Roman"/>
                <w:bCs/>
                <w:sz w:val="24"/>
                <w:szCs w:val="24"/>
              </w:rPr>
              <w:t>宏业供热公司2台1</w:t>
            </w:r>
            <w:r>
              <w:rPr>
                <w:rFonts w:ascii="仿宋" w:hAnsi="仿宋" w:cs="Times New Roman"/>
                <w:bCs/>
                <w:sz w:val="24"/>
                <w:szCs w:val="24"/>
              </w:rPr>
              <w:t>00</w:t>
            </w:r>
            <w:r>
              <w:rPr>
                <w:rFonts w:hint="eastAsia" w:ascii="仿宋" w:hAnsi="仿宋" w:cs="Times New Roman"/>
                <w:bCs/>
                <w:sz w:val="24"/>
                <w:szCs w:val="24"/>
              </w:rPr>
              <w:t>t/h锅炉</w:t>
            </w:r>
            <w:r>
              <w:rPr>
                <w:rFonts w:ascii="仿宋" w:hAnsi="仿宋" w:cs="Times New Roman"/>
                <w:bCs/>
                <w:sz w:val="24"/>
                <w:szCs w:val="24"/>
              </w:rPr>
              <w:t>烟气超低排放改造工程。</w:t>
            </w:r>
          </w:p>
          <w:p>
            <w:pPr>
              <w:overflowPunct w:val="0"/>
              <w:topLinePunct/>
              <w:adjustRightInd w:val="0"/>
              <w:snapToGrid w:val="0"/>
              <w:spacing w:line="300" w:lineRule="auto"/>
              <w:ind w:firstLine="480"/>
              <w:rPr>
                <w:rFonts w:cs="Times New Roman"/>
                <w:bCs/>
                <w:sz w:val="24"/>
                <w:szCs w:val="24"/>
              </w:rPr>
            </w:pPr>
            <w:r>
              <w:rPr>
                <w:rFonts w:ascii="仿宋" w:hAnsi="仿宋" w:cs="Times New Roman"/>
                <w:bCs/>
                <w:sz w:val="24"/>
                <w:szCs w:val="24"/>
              </w:rPr>
              <w:t>（二）大气重点污染源治理工程。</w:t>
            </w:r>
          </w:p>
          <w:p>
            <w:pPr>
              <w:spacing w:line="240" w:lineRule="auto"/>
              <w:ind w:firstLine="480" w:firstLineChars="0"/>
              <w:rPr>
                <w:rFonts w:eastAsia="宋体" w:cs="Times New Roman"/>
                <w:bCs/>
                <w:sz w:val="21"/>
                <w:szCs w:val="21"/>
              </w:rPr>
            </w:pPr>
            <w:r>
              <w:rPr>
                <w:rFonts w:ascii="仿宋" w:hAnsi="仿宋" w:cs="Times New Roman"/>
                <w:bCs/>
                <w:sz w:val="24"/>
                <w:szCs w:val="24"/>
              </w:rPr>
              <w:t>燃煤污染控制工程。淘汰县域燃煤锅炉，大部分纳入集中供热系统，</w:t>
            </w:r>
            <w:r>
              <w:rPr>
                <w:rFonts w:hint="eastAsia" w:ascii="仿宋" w:hAnsi="仿宋" w:cs="Times New Roman"/>
                <w:bCs/>
                <w:sz w:val="24"/>
                <w:szCs w:val="24"/>
              </w:rPr>
              <w:t>对龙泉镇、濛江乡等7个乡镇燃煤锅炉进行拆除改造，安装空气能锅炉18台。</w:t>
            </w:r>
          </w:p>
        </w:tc>
      </w:tr>
    </w:tbl>
    <w:p>
      <w:pPr>
        <w:ind w:firstLine="640"/>
        <w:sectPr>
          <w:pgSz w:w="11906" w:h="16838"/>
          <w:pgMar w:top="1440" w:right="1800" w:bottom="1440" w:left="1800" w:header="851" w:footer="992" w:gutter="0"/>
          <w:cols w:space="425" w:num="1"/>
          <w:docGrid w:type="lines" w:linePitch="312" w:charSpace="0"/>
        </w:sectPr>
      </w:pPr>
    </w:p>
    <w:p>
      <w:pPr>
        <w:pStyle w:val="2"/>
        <w:pageBreakBefore/>
        <w:ind w:firstLine="0" w:firstLineChars="0"/>
      </w:pPr>
      <w:bookmarkStart w:id="19" w:name="_Toc129926090"/>
      <w:r>
        <w:rPr>
          <w:rFonts w:hint="eastAsia"/>
        </w:rPr>
        <w:t>第五章 加强“三水”统筹 切实守护一方好水</w:t>
      </w:r>
      <w:bookmarkEnd w:id="19"/>
    </w:p>
    <w:p>
      <w:pPr>
        <w:pStyle w:val="26"/>
        <w:adjustRightInd/>
        <w:spacing w:line="58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深刻把握</w:t>
      </w:r>
      <w:r>
        <w:rPr>
          <w:rFonts w:hint="eastAsia" w:ascii="Times New Roman" w:hAnsi="Times New Roman" w:cs="Times New Roman"/>
          <w:color w:val="auto"/>
          <w:sz w:val="32"/>
          <w:szCs w:val="32"/>
        </w:rPr>
        <w:t>“</w:t>
      </w:r>
      <w:r>
        <w:rPr>
          <w:rFonts w:ascii="Times New Roman" w:hAnsi="Times New Roman" w:cs="Times New Roman"/>
          <w:color w:val="auto"/>
          <w:sz w:val="32"/>
          <w:szCs w:val="32"/>
        </w:rPr>
        <w:t>山水林田湖草</w:t>
      </w:r>
      <w:r>
        <w:rPr>
          <w:rFonts w:hint="eastAsia" w:ascii="Times New Roman" w:hAnsi="Times New Roman" w:cs="Times New Roman"/>
          <w:color w:val="auto"/>
          <w:sz w:val="32"/>
          <w:szCs w:val="32"/>
        </w:rPr>
        <w:t>沙</w:t>
      </w:r>
      <w:r>
        <w:rPr>
          <w:rFonts w:ascii="Times New Roman" w:hAnsi="Times New Roman" w:cs="Times New Roman"/>
          <w:color w:val="auto"/>
          <w:sz w:val="32"/>
          <w:szCs w:val="32"/>
        </w:rPr>
        <w:t>是一个生命共同体</w:t>
      </w:r>
      <w:r>
        <w:rPr>
          <w:rFonts w:hint="eastAsia" w:ascii="Times New Roman" w:hAnsi="Times New Roman" w:cs="Times New Roman"/>
          <w:color w:val="auto"/>
          <w:sz w:val="32"/>
          <w:szCs w:val="32"/>
        </w:rPr>
        <w:t>”</w:t>
      </w:r>
      <w:r>
        <w:rPr>
          <w:rFonts w:ascii="Times New Roman" w:hAnsi="Times New Roman" w:cs="Times New Roman"/>
          <w:color w:val="auto"/>
          <w:sz w:val="32"/>
          <w:szCs w:val="32"/>
        </w:rPr>
        <w:t>的科学内涵，坚持问题导向与目标导向，以改善水生态环境质量为核心，统筹水资源利用、水生态保护和水环境治理，突出水环境、水资源、水生态</w:t>
      </w:r>
      <w:r>
        <w:rPr>
          <w:rFonts w:hint="eastAsia" w:ascii="Times New Roman" w:hAnsi="Times New Roman" w:cs="Times New Roman"/>
          <w:color w:val="auto"/>
          <w:sz w:val="32"/>
          <w:szCs w:val="32"/>
        </w:rPr>
        <w:t>“</w:t>
      </w:r>
      <w:r>
        <w:rPr>
          <w:rFonts w:ascii="Times New Roman" w:hAnsi="Times New Roman" w:cs="Times New Roman"/>
          <w:color w:val="auto"/>
          <w:sz w:val="32"/>
          <w:szCs w:val="32"/>
        </w:rPr>
        <w:t>三水</w:t>
      </w:r>
      <w:r>
        <w:rPr>
          <w:rFonts w:hint="eastAsia" w:ascii="Times New Roman" w:hAnsi="Times New Roman" w:cs="Times New Roman"/>
          <w:color w:val="auto"/>
          <w:sz w:val="32"/>
          <w:szCs w:val="32"/>
        </w:rPr>
        <w:t>”</w:t>
      </w:r>
      <w:r>
        <w:rPr>
          <w:rFonts w:ascii="Times New Roman" w:hAnsi="Times New Roman" w:cs="Times New Roman"/>
          <w:color w:val="auto"/>
          <w:sz w:val="32"/>
          <w:szCs w:val="32"/>
        </w:rPr>
        <w:t>统筹及风险防范，实现</w:t>
      </w:r>
      <w:r>
        <w:rPr>
          <w:rFonts w:hint="eastAsia" w:ascii="Times New Roman" w:hAnsi="Times New Roman" w:cs="Times New Roman"/>
          <w:color w:val="auto"/>
          <w:sz w:val="32"/>
          <w:szCs w:val="32"/>
        </w:rPr>
        <w:t>“</w:t>
      </w:r>
      <w:r>
        <w:rPr>
          <w:rFonts w:ascii="Times New Roman" w:hAnsi="Times New Roman" w:cs="Times New Roman"/>
          <w:color w:val="auto"/>
          <w:sz w:val="32"/>
          <w:szCs w:val="32"/>
        </w:rPr>
        <w:t>有河有水，有水有鱼，有鱼有草</w:t>
      </w:r>
      <w:r>
        <w:rPr>
          <w:rFonts w:hint="eastAsia" w:ascii="Times New Roman" w:hAnsi="Times New Roman" w:cs="Times New Roman"/>
          <w:color w:val="auto"/>
          <w:sz w:val="32"/>
          <w:szCs w:val="32"/>
        </w:rPr>
        <w:t>”</w:t>
      </w:r>
      <w:r>
        <w:rPr>
          <w:rFonts w:ascii="Times New Roman" w:hAnsi="Times New Roman" w:cs="Times New Roman"/>
          <w:color w:val="auto"/>
          <w:sz w:val="32"/>
          <w:szCs w:val="32"/>
        </w:rPr>
        <w:t>的目标。</w:t>
      </w:r>
    </w:p>
    <w:p>
      <w:pPr>
        <w:pStyle w:val="3"/>
        <w:ind w:firstLine="643"/>
      </w:pPr>
      <w:bookmarkStart w:id="20" w:name="_Toc129926091"/>
      <w:r>
        <w:rPr>
          <w:rFonts w:hint="eastAsia"/>
        </w:rPr>
        <w:t>第一节 统筹推进“三水”系统治理</w:t>
      </w:r>
      <w:bookmarkEnd w:id="20"/>
    </w:p>
    <w:p>
      <w:pPr>
        <w:ind w:firstLine="643"/>
        <w:rPr>
          <w:b/>
          <w:bCs/>
        </w:rPr>
      </w:pPr>
      <w:r>
        <w:rPr>
          <w:rFonts w:hint="eastAsia"/>
          <w:b/>
          <w:bCs/>
        </w:rPr>
        <w:t>系统实施“三水共治”。</w:t>
      </w:r>
      <w:r>
        <w:rPr>
          <w:rFonts w:hint="eastAsia"/>
        </w:rPr>
        <w:t>以水环境质量改善为核心，污染减排与生态扩容两手发力，</w:t>
      </w:r>
      <w:r>
        <w:t>系统推进工业、生活、农业污染治理</w:t>
      </w:r>
      <w:r>
        <w:rPr>
          <w:rFonts w:hint="eastAsia"/>
        </w:rPr>
        <w:t>。严格遵守用水总量控制、用水效率控制、水功能区限制纳污控制“三条红线”，通过强化节水、严格管控、优化配置、科学调度提高流域水资源供给能力。实施水生态恢复工程，加强水源涵养林建设，系统做好水生态保护。（县生态环境局、县水利局、</w:t>
      </w:r>
      <w:r>
        <w:rPr>
          <w:rFonts w:hint="eastAsia"/>
          <w:lang w:eastAsia="zh-CN"/>
        </w:rPr>
        <w:t>县自然资源局</w:t>
      </w:r>
      <w:r>
        <w:rPr>
          <w:rFonts w:hint="eastAsia"/>
        </w:rPr>
        <w:t>按职责分工负责）</w:t>
      </w:r>
    </w:p>
    <w:p>
      <w:pPr>
        <w:ind w:firstLine="643"/>
        <w:rPr>
          <w:bCs/>
        </w:rPr>
      </w:pPr>
      <w:r>
        <w:rPr>
          <w:rFonts w:hint="eastAsia"/>
          <w:b/>
          <w:bCs/>
        </w:rPr>
        <w:t>保障水环境质量稳定达标。</w:t>
      </w:r>
      <w:r>
        <w:rPr>
          <w:rFonts w:hint="eastAsia"/>
          <w:bCs/>
        </w:rPr>
        <w:t>强化水环境质量目标管理，围绕断面水质全面达标要求，持续强化巡查和监测力度。依托排污许可证信息，建立“水体－入河排污口－排污管线－污染源”全链条管理的水污染物排放治理体系，切实提升水质改善成效。到2025年，地表水达到或好于Ⅲ类水体比例保持在100%。（县生态环境局、县水利局</w:t>
      </w:r>
      <w:r>
        <w:rPr>
          <w:rFonts w:hint="eastAsia"/>
        </w:rPr>
        <w:t>按职责分工负责</w:t>
      </w:r>
      <w:r>
        <w:rPr>
          <w:rFonts w:hint="eastAsia"/>
          <w:bCs/>
        </w:rPr>
        <w:t>）</w:t>
      </w:r>
    </w:p>
    <w:p>
      <w:pPr>
        <w:ind w:firstLine="643"/>
      </w:pPr>
      <w:r>
        <w:rPr>
          <w:rFonts w:hint="eastAsia"/>
          <w:b/>
          <w:bCs/>
        </w:rPr>
        <w:t>保障饮用水水源地环境安全。</w:t>
      </w:r>
      <w:r>
        <w:rPr>
          <w:rFonts w:hint="eastAsia"/>
          <w:bCs/>
        </w:rPr>
        <w:t>加强集中式饮用水水源地规范化建设，在</w:t>
      </w:r>
      <w:r>
        <w:rPr>
          <w:rFonts w:hint="eastAsia"/>
        </w:rPr>
        <w:t>依法合理划定集中式饮用水水源保护区基础上，建设集中式饮用水水源保护区界碑、交通警示牌、宣传牌等标识及保护区内道路警示标志。</w:t>
      </w:r>
      <w:r>
        <w:rPr>
          <w:rFonts w:hint="eastAsia"/>
          <w:bCs/>
        </w:rPr>
        <w:t>加强</w:t>
      </w:r>
      <w:r>
        <w:rPr>
          <w:bCs/>
        </w:rPr>
        <w:t>农村水源地保护</w:t>
      </w:r>
      <w:r>
        <w:rPr>
          <w:rFonts w:hint="eastAsia"/>
          <w:bCs/>
        </w:rPr>
        <w:t>，</w:t>
      </w:r>
      <w:r>
        <w:rPr>
          <w:bCs/>
        </w:rPr>
        <w:t>开展农村集中式饮用水水源保护区整治专项行动</w:t>
      </w:r>
      <w:r>
        <w:rPr>
          <w:rFonts w:hint="eastAsia"/>
          <w:bCs/>
        </w:rPr>
        <w:t>，实施水质检测</w:t>
      </w:r>
      <w:r>
        <w:rPr>
          <w:rFonts w:hint="eastAsia"/>
        </w:rPr>
        <w:t>和监测全覆盖。以</w:t>
      </w:r>
      <w:r>
        <w:rPr>
          <w:rFonts w:hint="eastAsia"/>
          <w:bCs/>
        </w:rPr>
        <w:t>靖宇镇飞龙泉饮用水水源、靖宇镇巨龙泉饮用水水源等集中式饮用水水源地等为重点，加强饮用水水源地预警监控能力建设，制定应急预案，</w:t>
      </w:r>
      <w:r>
        <w:t>保障</w:t>
      </w:r>
      <w:r>
        <w:rPr>
          <w:rFonts w:hint="eastAsia"/>
        </w:rPr>
        <w:t>区域供水安全</w:t>
      </w:r>
      <w:r>
        <w:t>。</w:t>
      </w:r>
      <w:r>
        <w:rPr>
          <w:rFonts w:hint="eastAsia"/>
        </w:rPr>
        <w:t>（县生态环境局、县卫健局按职责分工负责）</w:t>
      </w:r>
    </w:p>
    <w:p>
      <w:pPr>
        <w:ind w:firstLine="643"/>
        <w:rPr>
          <w:bCs/>
        </w:rPr>
      </w:pPr>
      <w:r>
        <w:rPr>
          <w:rFonts w:hint="eastAsia"/>
          <w:b/>
          <w:bCs/>
        </w:rPr>
        <w:t>提高水环境风险防控能力。</w:t>
      </w:r>
      <w:r>
        <w:rPr>
          <w:rFonts w:hint="eastAsia"/>
          <w:bCs/>
        </w:rPr>
        <w:t>制定应对不同风险源的的应急预案，有效应对各类水环境事件风险，储备必要的应急物资。加强水环境风险的监测、评估、预报和预警，为防止水环境突发事件的发生提供理论支撑、技术手段和基础数据。编制饮用水水源地突发污染事件应急预案，建立一源一册水源档案。定期修订应急预案，明确应急预案中应急队伍建设目标和应急演练计划安排，制定各年度应急演练计划。（县生态环境局、县应急管理局、县住建局、县卫健局按职责分工负责）</w:t>
      </w:r>
    </w:p>
    <w:p>
      <w:pPr>
        <w:ind w:firstLine="643"/>
      </w:pPr>
      <w:r>
        <w:rPr>
          <w:rFonts w:hint="eastAsia"/>
          <w:b/>
          <w:bCs/>
        </w:rPr>
        <w:t>开展矿泉水资源承载力评估分析。</w:t>
      </w:r>
      <w:r>
        <w:rPr>
          <w:rFonts w:hint="eastAsia"/>
        </w:rPr>
        <w:t>开展矿泉水承载力调查评估工作，确保矿泉水资源的可持续开发利用和居民生活用水不受影响。（县水利局负责）</w:t>
      </w:r>
    </w:p>
    <w:p>
      <w:pPr>
        <w:pStyle w:val="3"/>
        <w:ind w:firstLine="643"/>
      </w:pPr>
      <w:bookmarkStart w:id="21" w:name="_Toc129926092"/>
      <w:r>
        <w:rPr>
          <w:rFonts w:hint="eastAsia"/>
        </w:rPr>
        <w:t>第二节 推进水环境质量改善</w:t>
      </w:r>
      <w:bookmarkEnd w:id="21"/>
    </w:p>
    <w:p>
      <w:pPr>
        <w:ind w:firstLine="643"/>
      </w:pPr>
      <w:r>
        <w:rPr>
          <w:rFonts w:hint="eastAsia"/>
          <w:b/>
          <w:bCs/>
        </w:rPr>
        <w:t>稳步提高城镇污水收集处理率</w:t>
      </w:r>
      <w:r>
        <w:rPr>
          <w:b/>
          <w:bCs/>
        </w:rPr>
        <w:t>。</w:t>
      </w:r>
      <w:r>
        <w:rPr>
          <w:spacing w:val="-2"/>
        </w:rPr>
        <w:t>以入河排污口排查整治为抓手，</w:t>
      </w:r>
      <w:r>
        <w:rPr>
          <w:rFonts w:hint="eastAsia"/>
          <w:spacing w:val="-2"/>
        </w:rPr>
        <w:t>对入河排污口实行台账式、清单式管理。</w:t>
      </w:r>
      <w:r>
        <w:rPr>
          <w:rFonts w:hint="eastAsia"/>
        </w:rPr>
        <w:t>重点推进老旧城区、城乡结合部和城中村污水收集管网建设，消除管网空白区，新城区污水管网规划建设应与城市开发同步推进，推进城区污水收集管网全覆盖。推进靖宇县景山镇西南岔村人工湿地、龙泉镇大北山村人工湿地建设。加强城镇污水处理厂污泥监管，鼓励污泥资源化利用，全面取缔非法污泥堆放点。（县住建局、县生态环境局、</w:t>
      </w:r>
      <w:r>
        <w:rPr>
          <w:rFonts w:hint="eastAsia"/>
          <w:lang w:eastAsia="zh-CN"/>
        </w:rPr>
        <w:t>县自然资源局</w:t>
      </w:r>
      <w:r>
        <w:rPr>
          <w:rFonts w:hint="eastAsia"/>
        </w:rPr>
        <w:t>按职责分工负责）</w:t>
      </w:r>
    </w:p>
    <w:p>
      <w:pPr>
        <w:ind w:firstLine="643"/>
      </w:pPr>
      <w:r>
        <w:rPr>
          <w:rFonts w:hint="eastAsia"/>
          <w:b/>
          <w:bCs/>
        </w:rPr>
        <w:t>加大工业污染源治理力度</w:t>
      </w:r>
      <w:r>
        <w:rPr>
          <w:rFonts w:hint="eastAsia"/>
          <w:b/>
        </w:rPr>
        <w:t>。</w:t>
      </w:r>
      <w:r>
        <w:rPr>
          <w:rFonts w:hint="eastAsia"/>
        </w:rPr>
        <w:t>加强工业污染源规范化监管，严格落实排污许可证制度。持续推进工业企业污染防治设施升级改造，推进经济开发区工业污染源主要水污染物污染减排。开展工业废水双随机抽工作，对废水不达标企业采取强制限期整改、关停等措施。加强工业污水预处理设施建设。（县生态环境局、县工信局按职责分工负责）</w:t>
      </w:r>
    </w:p>
    <w:p>
      <w:pPr>
        <w:ind w:firstLine="643"/>
      </w:pPr>
      <w:r>
        <w:rPr>
          <w:rFonts w:hint="eastAsia"/>
          <w:b/>
          <w:bCs/>
        </w:rPr>
        <w:t>加强农村水污染防治。</w:t>
      </w:r>
      <w:r>
        <w:rPr>
          <w:rFonts w:hint="eastAsia"/>
        </w:rPr>
        <w:t>推广测土配方施肥，综合采取改造农业灌溉系统、建设生态拦截沟等措施减少农田灌溉退水，控制农业面源污染。根据实际建设农村生活污水收集处理体系，提高农村污水收集率和处理率。完善农村生活垃圾收集、处理一体化治理体系，实行城乡统筹规划、建设和管理。严禁生活垃圾随意堆放，避免化冰期土壤有机质随地表径流进入河流，实现沿河村屯生活垃圾治理全覆盖，持续加大农村黑臭水体整治力度。规模化畜禽养殖场（小区）要根据污染防治需要，配套建设粪污处理或利用设施。（县农业农村局、县生态环境局、县住建局、</w:t>
      </w:r>
      <w:r>
        <w:rPr>
          <w:rFonts w:hint="eastAsia"/>
          <w:highlight w:val="none"/>
          <w:lang w:eastAsia="zh-CN"/>
        </w:rPr>
        <w:t>县城市管理综合行政执法大队</w:t>
      </w:r>
      <w:r>
        <w:rPr>
          <w:rFonts w:hint="eastAsia"/>
          <w:highlight w:val="none"/>
        </w:rPr>
        <w:t>按</w:t>
      </w:r>
      <w:r>
        <w:rPr>
          <w:rFonts w:hint="eastAsia"/>
        </w:rPr>
        <w:t>职责分工负责）</w:t>
      </w:r>
    </w:p>
    <w:p>
      <w:pPr>
        <w:pStyle w:val="3"/>
        <w:ind w:firstLine="643"/>
      </w:pPr>
      <w:bookmarkStart w:id="22" w:name="_Toc129926093"/>
      <w:r>
        <w:rPr>
          <w:rFonts w:hint="eastAsia"/>
        </w:rPr>
        <w:t>第三节 强化水资源保护利用</w:t>
      </w:r>
      <w:bookmarkEnd w:id="22"/>
    </w:p>
    <w:p>
      <w:pPr>
        <w:ind w:firstLine="643"/>
        <w:rPr>
          <w:b/>
        </w:rPr>
      </w:pPr>
      <w:bookmarkStart w:id="23" w:name="_Toc15197"/>
      <w:r>
        <w:rPr>
          <w:rFonts w:cs="Times New Roman"/>
          <w:b/>
        </w:rPr>
        <w:t>有效保障重点河湖生态流量</w:t>
      </w:r>
      <w:r>
        <w:rPr>
          <w:rFonts w:hint="eastAsia" w:cs="Times New Roman"/>
          <w:b/>
        </w:rPr>
        <w:t>。</w:t>
      </w:r>
      <w:r>
        <w:rPr>
          <w:rFonts w:hint="eastAsia" w:cs="Times New Roman"/>
        </w:rPr>
        <w:t>科学调度和配置水资源，</w:t>
      </w:r>
      <w:r>
        <w:t>着力保障重要河湖生态流量，强化河湖生态流量管理责任，对实施生态流量保障的河流、湖库进行清单式管理建完善的流域生态流量及过程监管机制，将河湖生态流量保障情况纳入</w:t>
      </w:r>
      <w:r>
        <w:rPr>
          <w:rFonts w:hint="eastAsia"/>
        </w:rPr>
        <w:t>河长制湖长制</w:t>
      </w:r>
      <w:r>
        <w:t>统一监管。</w:t>
      </w:r>
      <w:r>
        <w:rPr>
          <w:rFonts w:hint="eastAsia"/>
        </w:rPr>
        <w:t>（县水利局负责）</w:t>
      </w:r>
    </w:p>
    <w:p>
      <w:pPr>
        <w:ind w:firstLine="643"/>
        <w:rPr>
          <w:b/>
        </w:rPr>
      </w:pPr>
      <w:r>
        <w:rPr>
          <w:rFonts w:hint="eastAsia"/>
          <w:b/>
        </w:rPr>
        <w:t>完善区域再生水循环利用体系</w:t>
      </w:r>
      <w:r>
        <w:rPr>
          <w:b/>
        </w:rPr>
        <w:t>。</w:t>
      </w:r>
      <w:r>
        <w:rPr>
          <w:rFonts w:hint="eastAsia"/>
        </w:rPr>
        <w:t>严格水资源用水总量控制和定额管理，严格新建项目取水许可审批。推进污水再生利用设施、再生水输送管网建设，提升再生水循环利用率。鼓励企业实行清洁生产和工业用水循环利用，推进达标排放与中水回用。鼓励城市生态景观、工业生产、城市绿化、道路清扫、车辆冲洗和建筑施工等优先使用再生水，提升再生水利用水平，构建城镇良性水循环系统。（县水利局、县工信局按职责分工负责）</w:t>
      </w:r>
    </w:p>
    <w:bookmarkEnd w:id="23"/>
    <w:p>
      <w:pPr>
        <w:ind w:firstLine="643"/>
      </w:pPr>
      <w:r>
        <w:rPr>
          <w:rFonts w:hint="eastAsia"/>
          <w:b/>
          <w:bCs/>
        </w:rPr>
        <w:t>深入实施节水行动</w:t>
      </w:r>
      <w:r>
        <w:rPr>
          <w:b/>
          <w:bCs/>
        </w:rPr>
        <w:t>。</w:t>
      </w:r>
      <w:r>
        <w:rPr>
          <w:rFonts w:hint="eastAsia"/>
        </w:rPr>
        <w:t>全面推进城市节水建设、工业节水改造、农村生活节水，推进污水资源化利用。实施区域林地、城市绿地、休闲农业的规模化高效节水灌溉行动，大力推广喷灌、滴灌、微灌、管道输水等节水灌溉技术，促进水资源节约集约高效利用。全面提倡宣传生活节水，提高公众的节水意识，营造全社会共同参与的良好氛围。（县工信局、县住建局、县农业农村局、</w:t>
      </w:r>
      <w:r>
        <w:rPr>
          <w:rFonts w:hint="eastAsia"/>
          <w:lang w:eastAsia="zh-CN"/>
        </w:rPr>
        <w:t>县自然资源局</w:t>
      </w:r>
      <w:r>
        <w:rPr>
          <w:rFonts w:hint="eastAsia"/>
        </w:rPr>
        <w:t>、县</w:t>
      </w:r>
      <w:r>
        <w:rPr>
          <w:rFonts w:hint="eastAsia"/>
          <w:lang w:eastAsia="zh-CN"/>
        </w:rPr>
        <w:t>城市管理综合行政执法大队</w:t>
      </w:r>
      <w:r>
        <w:rPr>
          <w:rFonts w:hint="eastAsia"/>
        </w:rPr>
        <w:t>、县水利局按职责分工负责）</w:t>
      </w:r>
    </w:p>
    <w:p>
      <w:pPr>
        <w:pStyle w:val="3"/>
        <w:ind w:firstLine="643"/>
      </w:pPr>
      <w:bookmarkStart w:id="24" w:name="_Toc129926094"/>
      <w:r>
        <w:rPr>
          <w:rFonts w:hint="eastAsia"/>
        </w:rPr>
        <w:t>第四节 推动水生态保护修复</w:t>
      </w:r>
      <w:bookmarkEnd w:id="24"/>
    </w:p>
    <w:p>
      <w:pPr>
        <w:ind w:firstLine="643"/>
      </w:pPr>
      <w:r>
        <w:rPr>
          <w:rFonts w:hint="eastAsia"/>
          <w:b/>
        </w:rPr>
        <w:t>加强水源涵养能力建设。</w:t>
      </w:r>
      <w:r>
        <w:rPr>
          <w:spacing w:val="-3"/>
        </w:rPr>
        <w:t>科学开展水源涵养林建设，</w:t>
      </w:r>
      <w:r>
        <w:rPr>
          <w:spacing w:val="-4"/>
        </w:rPr>
        <w:t>禁止采伐天然林，主伐林区的森林采伐实行指标控</w:t>
      </w:r>
      <w:r>
        <w:rPr>
          <w:spacing w:val="-3"/>
        </w:rPr>
        <w:t>制。</w:t>
      </w:r>
      <w:r>
        <w:t>在适宜地区继续建设水源涵养林，</w:t>
      </w:r>
      <w:r>
        <w:rPr>
          <w:rFonts w:hint="eastAsia"/>
        </w:rPr>
        <w:t>建设经济林、退耕还林等，提高水源涵养能力和水土保持能力。</w:t>
      </w:r>
      <w:r>
        <w:rPr>
          <w:rFonts w:hint="eastAsia" w:ascii="仿宋_GB2312" w:hAnsi="仿宋"/>
          <w:szCs w:val="32"/>
        </w:rPr>
        <w:t>实施河道综合整治工程，按照河道分级管理的原则组织实施河道清淤疏浚工作。（县</w:t>
      </w:r>
      <w:r>
        <w:rPr>
          <w:rFonts w:hint="eastAsia"/>
        </w:rPr>
        <w:t>水利</w:t>
      </w:r>
      <w:r>
        <w:rPr>
          <w:rFonts w:hint="eastAsia" w:ascii="仿宋_GB2312" w:hAnsi="仿宋"/>
          <w:szCs w:val="32"/>
        </w:rPr>
        <w:t>局、县生态环境局、县农业农村局、县自然资源局按职责分工负责）</w:t>
      </w:r>
    </w:p>
    <w:p>
      <w:pPr>
        <w:ind w:firstLine="643"/>
      </w:pPr>
      <w:r>
        <w:rPr>
          <w:rFonts w:hint="eastAsia"/>
          <w:b/>
        </w:rPr>
        <w:t>加强湿地恢复与建设。</w:t>
      </w:r>
      <w:r>
        <w:rPr>
          <w:rFonts w:hint="eastAsia"/>
        </w:rPr>
        <w:t>在水源保护区上游、污水处理厂排放口下游等重点区域建设人工湿地。逐步建立完善湿地长效补水、生态补偿机制。加快靖宇县景山镇西南岔村人工湿地、龙泉镇大北山村人工湿地建设。（县水利局、县生态环境局、</w:t>
      </w:r>
      <w:r>
        <w:rPr>
          <w:rFonts w:hint="eastAsia"/>
          <w:lang w:eastAsia="zh-CN"/>
        </w:rPr>
        <w:t>县自然资源局</w:t>
      </w:r>
      <w:r>
        <w:rPr>
          <w:rFonts w:hint="eastAsia"/>
        </w:rPr>
        <w:t>、县农业农村局按职责分工负责）</w:t>
      </w:r>
    </w:p>
    <w:p>
      <w:pPr>
        <w:ind w:firstLine="643"/>
      </w:pPr>
      <w:r>
        <w:rPr>
          <w:rFonts w:hint="eastAsia"/>
          <w:b/>
        </w:rPr>
        <w:t>恢复水生生物完整性。</w:t>
      </w:r>
      <w:r>
        <w:t>加大</w:t>
      </w:r>
      <w:r>
        <w:rPr>
          <w:rFonts w:hint="eastAsia"/>
        </w:rPr>
        <w:t>“三场一通道”保</w:t>
      </w:r>
      <w:r>
        <w:t>护力度，加强珍稀水产</w:t>
      </w:r>
      <w:r>
        <w:rPr>
          <w:rFonts w:hint="eastAsia"/>
        </w:rPr>
        <w:t>种质</w:t>
      </w:r>
      <w:r>
        <w:t>资源的保护。</w:t>
      </w:r>
      <w:r>
        <w:rPr>
          <w:rFonts w:hint="eastAsia"/>
        </w:rPr>
        <w:t>加强生态保育，提升松花江流域重点河流土著鱼类种群丰度。（县水利局、县生态环境局、</w:t>
      </w:r>
      <w:r>
        <w:rPr>
          <w:rFonts w:hint="eastAsia"/>
          <w:lang w:eastAsia="zh-CN"/>
        </w:rPr>
        <w:t>县自然资源局</w:t>
      </w:r>
      <w:r>
        <w:rPr>
          <w:rFonts w:hint="eastAsia"/>
        </w:rPr>
        <w:t>按职责分工负责）</w:t>
      </w:r>
    </w:p>
    <w:p>
      <w:pPr>
        <w:ind w:firstLine="640"/>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00" w:lineRule="auto"/>
              <w:ind w:firstLine="482"/>
              <w:jc w:val="center"/>
              <w:rPr>
                <w:sz w:val="24"/>
                <w:szCs w:val="24"/>
              </w:rPr>
            </w:pPr>
            <w:r>
              <w:rPr>
                <w:rFonts w:ascii="仿宋" w:hAnsi="仿宋"/>
                <w:b/>
                <w:sz w:val="24"/>
                <w:szCs w:val="24"/>
              </w:rPr>
              <w:t>专栏</w:t>
            </w:r>
            <w:r>
              <w:rPr>
                <w:rFonts w:hint="eastAsia"/>
                <w:b/>
                <w:sz w:val="24"/>
                <w:szCs w:val="24"/>
              </w:rPr>
              <w:t>3</w:t>
            </w:r>
            <w:r>
              <w:rPr>
                <w:rFonts w:ascii="仿宋" w:hAnsi="仿宋"/>
                <w:b/>
                <w:sz w:val="24"/>
                <w:szCs w:val="24"/>
              </w:rPr>
              <w:t>　水生态环境提升工程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overflowPunct w:val="0"/>
              <w:topLinePunct/>
              <w:adjustRightInd w:val="0"/>
              <w:snapToGrid w:val="0"/>
              <w:spacing w:line="300" w:lineRule="auto"/>
              <w:ind w:firstLine="480"/>
              <w:rPr>
                <w:bCs/>
                <w:sz w:val="24"/>
                <w:szCs w:val="24"/>
              </w:rPr>
            </w:pPr>
            <w:r>
              <w:rPr>
                <w:rFonts w:ascii="仿宋" w:hAnsi="仿宋"/>
                <w:bCs/>
                <w:sz w:val="24"/>
                <w:szCs w:val="24"/>
              </w:rPr>
              <w:t>（一）污水处理设施建设工程。</w:t>
            </w:r>
          </w:p>
          <w:p>
            <w:pPr>
              <w:overflowPunct w:val="0"/>
              <w:topLinePunct/>
              <w:adjustRightInd w:val="0"/>
              <w:snapToGrid w:val="0"/>
              <w:spacing w:line="300" w:lineRule="auto"/>
              <w:ind w:firstLine="480"/>
              <w:rPr>
                <w:rFonts w:ascii="仿宋" w:hAnsi="仿宋"/>
                <w:bCs/>
                <w:sz w:val="24"/>
                <w:szCs w:val="24"/>
              </w:rPr>
            </w:pPr>
            <w:r>
              <w:rPr>
                <w:rFonts w:hint="eastAsia" w:ascii="仿宋" w:hAnsi="仿宋"/>
                <w:bCs/>
                <w:sz w:val="24"/>
                <w:szCs w:val="24"/>
              </w:rPr>
              <w:t>城镇</w:t>
            </w:r>
            <w:r>
              <w:rPr>
                <w:rFonts w:ascii="仿宋" w:hAnsi="仿宋"/>
                <w:bCs/>
                <w:sz w:val="24"/>
                <w:szCs w:val="24"/>
              </w:rPr>
              <w:t>污水处理设施建设工程。实施</w:t>
            </w:r>
            <w:r>
              <w:rPr>
                <w:rFonts w:hint="eastAsia" w:ascii="仿宋" w:hAnsi="仿宋"/>
                <w:bCs/>
                <w:sz w:val="24"/>
                <w:szCs w:val="24"/>
              </w:rPr>
              <w:t>靖宇县污水处理厂二期工程建设项目</w:t>
            </w:r>
            <w:r>
              <w:rPr>
                <w:rFonts w:ascii="仿宋" w:hAnsi="仿宋"/>
                <w:bCs/>
                <w:sz w:val="24"/>
                <w:szCs w:val="24"/>
              </w:rPr>
              <w:t>，</w:t>
            </w:r>
            <w:r>
              <w:rPr>
                <w:rFonts w:hint="eastAsia" w:ascii="仿宋" w:hAnsi="仿宋"/>
                <w:bCs/>
                <w:sz w:val="24"/>
                <w:szCs w:val="24"/>
              </w:rPr>
              <w:t>新增污水处理规模2.5 万m</w:t>
            </w:r>
            <w:r>
              <w:rPr>
                <w:rFonts w:ascii="Calibri" w:hAnsi="Calibri" w:cs="Calibri"/>
                <w:bCs/>
                <w:sz w:val="24"/>
                <w:szCs w:val="24"/>
              </w:rPr>
              <w:t>³</w:t>
            </w:r>
            <w:r>
              <w:rPr>
                <w:rFonts w:hint="eastAsia" w:ascii="仿宋" w:hAnsi="仿宋"/>
                <w:bCs/>
                <w:sz w:val="24"/>
                <w:szCs w:val="24"/>
              </w:rPr>
              <w:t>/d，提升污水处理厂处理能力，</w:t>
            </w:r>
            <w:r>
              <w:rPr>
                <w:rFonts w:ascii="仿宋" w:hAnsi="仿宋"/>
                <w:bCs/>
                <w:sz w:val="24"/>
                <w:szCs w:val="24"/>
              </w:rPr>
              <w:t>进一步保障水质稳定达标排放。</w:t>
            </w:r>
          </w:p>
          <w:p>
            <w:pPr>
              <w:overflowPunct w:val="0"/>
              <w:topLinePunct/>
              <w:adjustRightInd w:val="0"/>
              <w:snapToGrid w:val="0"/>
              <w:spacing w:line="300" w:lineRule="auto"/>
              <w:ind w:firstLine="480"/>
              <w:rPr>
                <w:bCs/>
                <w:sz w:val="24"/>
                <w:szCs w:val="24"/>
              </w:rPr>
            </w:pPr>
            <w:r>
              <w:rPr>
                <w:rFonts w:hint="eastAsia"/>
                <w:bCs/>
                <w:sz w:val="24"/>
                <w:szCs w:val="24"/>
              </w:rPr>
              <w:t>农村生活污水治理工程。实施农村生活污水处理设施建设工程，在濛江乡、龙泉镇、三道湖镇建设污水处理站；在梨树村、富国村等1</w:t>
            </w:r>
            <w:r>
              <w:rPr>
                <w:bCs/>
                <w:sz w:val="24"/>
                <w:szCs w:val="24"/>
              </w:rPr>
              <w:t>6</w:t>
            </w:r>
            <w:r>
              <w:rPr>
                <w:rFonts w:hint="eastAsia"/>
                <w:bCs/>
                <w:sz w:val="24"/>
                <w:szCs w:val="24"/>
              </w:rPr>
              <w:t>个村庄建设污水收集管线和污水暂存池，污水实行定期拉运处理。</w:t>
            </w:r>
          </w:p>
          <w:p>
            <w:pPr>
              <w:overflowPunct w:val="0"/>
              <w:topLinePunct/>
              <w:adjustRightInd w:val="0"/>
              <w:snapToGrid w:val="0"/>
              <w:spacing w:line="300" w:lineRule="auto"/>
              <w:ind w:firstLine="480"/>
              <w:rPr>
                <w:bCs/>
                <w:sz w:val="24"/>
                <w:szCs w:val="24"/>
              </w:rPr>
            </w:pPr>
            <w:r>
              <w:rPr>
                <w:rFonts w:ascii="仿宋" w:hAnsi="仿宋"/>
                <w:bCs/>
                <w:sz w:val="24"/>
                <w:szCs w:val="24"/>
              </w:rPr>
              <w:t>（二）农村</w:t>
            </w:r>
            <w:r>
              <w:rPr>
                <w:rFonts w:hint="eastAsia" w:ascii="仿宋" w:hAnsi="仿宋"/>
                <w:bCs/>
                <w:sz w:val="24"/>
                <w:szCs w:val="24"/>
              </w:rPr>
              <w:t>供水保障</w:t>
            </w:r>
            <w:r>
              <w:rPr>
                <w:rFonts w:ascii="仿宋" w:hAnsi="仿宋"/>
                <w:bCs/>
                <w:sz w:val="24"/>
                <w:szCs w:val="24"/>
              </w:rPr>
              <w:t>工程。</w:t>
            </w:r>
          </w:p>
          <w:p>
            <w:pPr>
              <w:overflowPunct w:val="0"/>
              <w:topLinePunct/>
              <w:adjustRightInd w:val="0"/>
              <w:snapToGrid w:val="0"/>
              <w:spacing w:line="300" w:lineRule="auto"/>
              <w:ind w:firstLine="480"/>
              <w:rPr>
                <w:bCs/>
                <w:sz w:val="24"/>
                <w:szCs w:val="24"/>
              </w:rPr>
            </w:pPr>
            <w:r>
              <w:rPr>
                <w:rFonts w:hint="eastAsia" w:ascii="仿宋" w:hAnsi="仿宋"/>
                <w:bCs/>
                <w:sz w:val="24"/>
                <w:szCs w:val="24"/>
              </w:rPr>
              <w:t>新建水源保护工程2</w:t>
            </w:r>
            <w:r>
              <w:rPr>
                <w:rFonts w:ascii="仿宋" w:hAnsi="仿宋"/>
                <w:bCs/>
                <w:sz w:val="24"/>
                <w:szCs w:val="24"/>
              </w:rPr>
              <w:t>6</w:t>
            </w:r>
            <w:r>
              <w:rPr>
                <w:rFonts w:hint="eastAsia" w:ascii="仿宋" w:hAnsi="仿宋"/>
                <w:bCs/>
                <w:sz w:val="24"/>
                <w:szCs w:val="24"/>
              </w:rPr>
              <w:t>处，新打机井4眼，新建泵房5座，维修泵房9座，新建输配水工程、蓄水池工程等，保障农村供水安全。</w:t>
            </w:r>
          </w:p>
          <w:p>
            <w:pPr>
              <w:overflowPunct w:val="0"/>
              <w:topLinePunct/>
              <w:adjustRightInd w:val="0"/>
              <w:snapToGrid w:val="0"/>
              <w:spacing w:line="300" w:lineRule="auto"/>
              <w:ind w:firstLine="480"/>
              <w:rPr>
                <w:bCs/>
                <w:sz w:val="24"/>
                <w:szCs w:val="24"/>
              </w:rPr>
            </w:pPr>
            <w:r>
              <w:rPr>
                <w:rFonts w:ascii="仿宋" w:hAnsi="仿宋"/>
                <w:bCs/>
                <w:sz w:val="24"/>
                <w:szCs w:val="24"/>
              </w:rPr>
              <w:t>（三）</w:t>
            </w:r>
            <w:r>
              <w:rPr>
                <w:rFonts w:hint="eastAsia" w:ascii="仿宋" w:hAnsi="仿宋"/>
                <w:bCs/>
                <w:sz w:val="24"/>
                <w:szCs w:val="24"/>
              </w:rPr>
              <w:t>城区污水管网改造工程</w:t>
            </w:r>
          </w:p>
          <w:p>
            <w:pPr>
              <w:overflowPunct w:val="0"/>
              <w:topLinePunct/>
              <w:adjustRightInd w:val="0"/>
              <w:snapToGrid w:val="0"/>
              <w:spacing w:line="300" w:lineRule="auto"/>
              <w:ind w:firstLine="480"/>
              <w:rPr>
                <w:rFonts w:ascii="仿宋" w:hAnsi="仿宋"/>
                <w:bCs/>
                <w:sz w:val="24"/>
                <w:szCs w:val="24"/>
              </w:rPr>
            </w:pPr>
            <w:r>
              <w:rPr>
                <w:rFonts w:ascii="仿宋" w:hAnsi="仿宋"/>
                <w:bCs/>
                <w:sz w:val="24"/>
                <w:szCs w:val="24"/>
              </w:rPr>
              <w:t>新建</w:t>
            </w:r>
            <w:r>
              <w:rPr>
                <w:rFonts w:hint="eastAsia" w:ascii="仿宋" w:hAnsi="仿宋"/>
                <w:bCs/>
                <w:sz w:val="24"/>
                <w:szCs w:val="24"/>
              </w:rPr>
              <w:t>和改造雨水管线7917.5米，补植银杨树、水曲柳、金丝垂柳、紫叶稠李、稠李、糖槭、山杏、红松、金叶榆、白榆、樟子松、海棠、垂暴、五角枫。</w:t>
            </w:r>
          </w:p>
          <w:p>
            <w:pPr>
              <w:overflowPunct w:val="0"/>
              <w:topLinePunct/>
              <w:adjustRightInd w:val="0"/>
              <w:snapToGrid w:val="0"/>
              <w:spacing w:line="300" w:lineRule="auto"/>
              <w:ind w:firstLine="480"/>
              <w:rPr>
                <w:bCs/>
                <w:sz w:val="24"/>
                <w:szCs w:val="24"/>
              </w:rPr>
            </w:pPr>
            <w:r>
              <w:rPr>
                <w:rFonts w:ascii="仿宋" w:hAnsi="仿宋"/>
                <w:bCs/>
                <w:sz w:val="24"/>
                <w:szCs w:val="24"/>
              </w:rPr>
              <w:t>（四）水生态恢复工程。</w:t>
            </w:r>
          </w:p>
          <w:p>
            <w:pPr>
              <w:overflowPunct w:val="0"/>
              <w:topLinePunct/>
              <w:adjustRightInd w:val="0"/>
              <w:snapToGrid w:val="0"/>
              <w:spacing w:line="300" w:lineRule="auto"/>
              <w:ind w:firstLine="480"/>
              <w:rPr>
                <w:bCs/>
                <w:sz w:val="24"/>
                <w:szCs w:val="24"/>
              </w:rPr>
            </w:pPr>
            <w:r>
              <w:rPr>
                <w:rFonts w:ascii="仿宋" w:hAnsi="仿宋"/>
                <w:bCs/>
                <w:sz w:val="24"/>
                <w:szCs w:val="24"/>
              </w:rPr>
              <w:t>实施</w:t>
            </w:r>
            <w:r>
              <w:rPr>
                <w:rFonts w:hint="eastAsia" w:ascii="仿宋" w:hAnsi="仿宋"/>
                <w:bCs/>
                <w:sz w:val="24"/>
                <w:szCs w:val="24"/>
              </w:rPr>
              <w:t>景山镇景山村小流域治理工程</w:t>
            </w:r>
            <w:r>
              <w:rPr>
                <w:rFonts w:ascii="仿宋" w:hAnsi="仿宋"/>
                <w:bCs/>
                <w:sz w:val="24"/>
                <w:szCs w:val="24"/>
              </w:rPr>
              <w:t>、</w:t>
            </w:r>
            <w:r>
              <w:rPr>
                <w:rFonts w:hint="eastAsia" w:ascii="仿宋" w:hAnsi="仿宋"/>
                <w:bCs/>
                <w:sz w:val="24"/>
                <w:szCs w:val="24"/>
              </w:rPr>
              <w:t>头道松花江靖宇县重点段治理工程</w:t>
            </w:r>
            <w:r>
              <w:rPr>
                <w:rFonts w:ascii="仿宋" w:hAnsi="仿宋"/>
                <w:bCs/>
                <w:sz w:val="24"/>
                <w:szCs w:val="24"/>
              </w:rPr>
              <w:t>、</w:t>
            </w:r>
            <w:r>
              <w:rPr>
                <w:rFonts w:hint="eastAsia" w:ascii="仿宋" w:hAnsi="仿宋"/>
                <w:bCs/>
                <w:sz w:val="24"/>
                <w:szCs w:val="24"/>
              </w:rPr>
              <w:t>中小河流珠子河靖宇县龙泉镇段综合治理工程</w:t>
            </w:r>
            <w:r>
              <w:rPr>
                <w:rFonts w:ascii="仿宋" w:hAnsi="仿宋"/>
                <w:bCs/>
                <w:sz w:val="24"/>
                <w:szCs w:val="24"/>
              </w:rPr>
              <w:t>、</w:t>
            </w:r>
            <w:r>
              <w:rPr>
                <w:rFonts w:hint="eastAsia" w:ascii="仿宋" w:hAnsi="仿宋"/>
                <w:bCs/>
                <w:sz w:val="24"/>
                <w:szCs w:val="24"/>
              </w:rPr>
              <w:t>靖宇县空杨树河（双石屯段）治理工程、靖宇县三道濛江河东北抗联教育基地段治理工程、靖宇县三道湖镇海龙河蓝莓小镇河道治理工程、正身河靖宇县花园口镇腰甸子村段治理工程、白山湖靖宇县花园口镇松江村护岸工程</w:t>
            </w:r>
            <w:r>
              <w:rPr>
                <w:rFonts w:ascii="仿宋" w:hAnsi="仿宋"/>
                <w:bCs/>
                <w:sz w:val="24"/>
                <w:szCs w:val="24"/>
              </w:rPr>
              <w:t>，对各流域的水域沿岸开展河道护岸治理、生态隔离带建设、绿化用地整理、植被恢复等工程。</w:t>
            </w:r>
          </w:p>
        </w:tc>
      </w:tr>
    </w:tbl>
    <w:p>
      <w:pPr>
        <w:ind w:firstLine="0" w:firstLineChars="0"/>
      </w:pPr>
    </w:p>
    <w:p>
      <w:pPr>
        <w:pStyle w:val="2"/>
        <w:pageBreakBefore/>
        <w:ind w:firstLine="0" w:firstLineChars="0"/>
      </w:pPr>
      <w:bookmarkStart w:id="25" w:name="_Toc129926095"/>
      <w:r>
        <w:rPr>
          <w:rFonts w:hint="eastAsia"/>
        </w:rPr>
        <w:t>第六章 深化土壤污染防治 改善农村人居环境</w:t>
      </w:r>
      <w:bookmarkEnd w:id="25"/>
    </w:p>
    <w:p>
      <w:pPr>
        <w:ind w:firstLine="640"/>
      </w:pPr>
      <w:bookmarkStart w:id="26" w:name="_Toc21988"/>
      <w:bookmarkStart w:id="27" w:name="_Toc2876"/>
      <w:r>
        <w:rPr>
          <w:rFonts w:hint="eastAsia"/>
        </w:rPr>
        <w:t>深入</w:t>
      </w:r>
      <w:r>
        <w:t>打好黑土地保卫战</w:t>
      </w:r>
      <w:r>
        <w:rPr>
          <w:rFonts w:hint="eastAsia"/>
        </w:rPr>
        <w:t>，巩固</w:t>
      </w:r>
      <w:r>
        <w:t>提升土壤环境质量</w:t>
      </w:r>
      <w:r>
        <w:rPr>
          <w:rFonts w:hint="eastAsia"/>
        </w:rPr>
        <w:t>，强化地下水污染防治，</w:t>
      </w:r>
      <w:r>
        <w:t>持续推进改善农村人居环境</w:t>
      </w:r>
      <w:r>
        <w:rPr>
          <w:rFonts w:hint="eastAsia"/>
        </w:rPr>
        <w:t>，</w:t>
      </w:r>
      <w:r>
        <w:t>严守农产品质量安全和人居环境安全底线。</w:t>
      </w:r>
    </w:p>
    <w:bookmarkEnd w:id="26"/>
    <w:bookmarkEnd w:id="27"/>
    <w:p>
      <w:pPr>
        <w:pStyle w:val="3"/>
        <w:ind w:firstLine="643"/>
      </w:pPr>
      <w:bookmarkStart w:id="28" w:name="_Toc129926096"/>
      <w:r>
        <w:rPr>
          <w:rFonts w:hint="eastAsia"/>
        </w:rPr>
        <w:t>第一节 协同推进土壤和地下水污染防控</w:t>
      </w:r>
      <w:bookmarkEnd w:id="28"/>
    </w:p>
    <w:p>
      <w:pPr>
        <w:ind w:firstLine="643"/>
      </w:pPr>
      <w:r>
        <w:rPr>
          <w:b/>
        </w:rPr>
        <w:t>加强国土空间布局管控。</w:t>
      </w:r>
      <w:r>
        <w:t>实施土壤和地下水环境风险协同管控</w:t>
      </w:r>
      <w:r>
        <w:rPr>
          <w:rFonts w:hint="eastAsia"/>
        </w:rPr>
        <w:t>，将土壤和地下水环境管理要求纳入国土空间规划。永久基本农田集中区域禁止规划建设可能造成土壤污染的建设项目。（县自然资源局、县生态环境局按职责分工负责）</w:t>
      </w:r>
    </w:p>
    <w:p>
      <w:pPr>
        <w:ind w:firstLine="643"/>
      </w:pPr>
      <w:r>
        <w:rPr>
          <w:rFonts w:hint="eastAsia"/>
          <w:b/>
        </w:rPr>
        <w:t>加强土壤污染源头防控。</w:t>
      </w:r>
      <w:r>
        <w:rPr>
          <w:rFonts w:hint="eastAsia"/>
        </w:rPr>
        <w:t>涉及有毒有害物质可能造成土壤污染的建设项目，应提出并严格落实土壤和地下水污染防治要求，守住土壤和地下水环境风险防控底线。严控重金属污染土壤和地下水。（县生态环境局负责）</w:t>
      </w:r>
    </w:p>
    <w:p>
      <w:pPr>
        <w:ind w:firstLine="643"/>
      </w:pPr>
      <w:r>
        <w:rPr>
          <w:rFonts w:hint="eastAsia"/>
          <w:b/>
          <w:bCs/>
        </w:rPr>
        <w:t>防范工矿企业新增土壤污染。</w:t>
      </w:r>
      <w:r>
        <w:rPr>
          <w:rFonts w:hint="eastAsia"/>
          <w:bCs/>
        </w:rPr>
        <w:t>根据实际建立</w:t>
      </w:r>
      <w:r>
        <w:rPr>
          <w:rFonts w:hint="eastAsia"/>
        </w:rPr>
        <w:t>土壤污染重点监管企业清单，纳入清单的重点监管企业应建立污染隐患排查、自行监测等制度。定期对土壤污染重点监管单位开展监督性检查，督促企业落实土壤和地下水污染防控措施</w:t>
      </w:r>
      <w:r>
        <w:t>。</w:t>
      </w:r>
      <w:r>
        <w:rPr>
          <w:rFonts w:hint="eastAsia"/>
        </w:rPr>
        <w:t>（县</w:t>
      </w:r>
      <w:r>
        <w:t>生态环境</w:t>
      </w:r>
      <w:r>
        <w:rPr>
          <w:rFonts w:hint="eastAsia"/>
        </w:rPr>
        <w:t>局</w:t>
      </w:r>
      <w:r>
        <w:t>负责）</w:t>
      </w:r>
    </w:p>
    <w:p>
      <w:pPr>
        <w:pStyle w:val="3"/>
        <w:ind w:firstLine="643"/>
      </w:pPr>
      <w:bookmarkStart w:id="29" w:name="_Toc129926097"/>
      <w:r>
        <w:rPr>
          <w:rFonts w:hint="eastAsia"/>
        </w:rPr>
        <w:t>第二节 推进土壤分类管控利用</w:t>
      </w:r>
      <w:bookmarkEnd w:id="29"/>
    </w:p>
    <w:p>
      <w:pPr>
        <w:ind w:firstLine="643"/>
      </w:pPr>
      <w:r>
        <w:rPr>
          <w:rFonts w:hint="eastAsia"/>
          <w:b/>
        </w:rPr>
        <w:t>严格</w:t>
      </w:r>
      <w:r>
        <w:rPr>
          <w:b/>
        </w:rPr>
        <w:t>农用地土壤污染防治</w:t>
      </w:r>
      <w:r>
        <w:rPr>
          <w:rFonts w:hint="eastAsia"/>
          <w:b/>
        </w:rPr>
        <w:t>。</w:t>
      </w:r>
      <w:r>
        <w:rPr>
          <w:rFonts w:hint="eastAsia"/>
        </w:rPr>
        <w:t>推进农用地分类利用，对优先保护类耕地加大保护力度，确保其面积不减少、土壤环境质量不下降；针对安全利用类和严格管控类耕地，根据省、市要求落实安全利用方案，全面落实安全利用和严格管控措施。（县农业农村局、县生态环境局、县自然资源局按职责分工负责）</w:t>
      </w:r>
    </w:p>
    <w:p>
      <w:pPr>
        <w:ind w:firstLine="643"/>
      </w:pPr>
      <w:r>
        <w:rPr>
          <w:rFonts w:hint="eastAsia"/>
          <w:b/>
        </w:rPr>
        <w:t>加强建设用地土壤风险管控与修复。</w:t>
      </w:r>
      <w:r>
        <w:rPr>
          <w:rFonts w:hint="eastAsia"/>
        </w:rPr>
        <w:t>对拟回收土地使用权的以及用途拟变更为居住和商业、学校、医疗、养老机构等公共设施的重点行业建设用地，由土地使用权人组织开展土壤环境状况调查和评估。排放重点污染物的建设项目，在开展环境影响评价时，要重点评估对土壤环境的影响，并提出防范土壤污染的具体措施。涉及危险化学品生产企业搬迁改造的，推进腾退地块调查评估、风险管控和修复。（县自然资源局、县工信局、县生态环境局按职责分工负责）</w:t>
      </w:r>
    </w:p>
    <w:p>
      <w:pPr>
        <w:pStyle w:val="3"/>
        <w:ind w:firstLine="643"/>
      </w:pPr>
      <w:bookmarkStart w:id="30" w:name="_Toc129926098"/>
      <w:r>
        <w:rPr>
          <w:rFonts w:hint="eastAsia"/>
        </w:rPr>
        <w:t>第三节 防范地下水污染风险</w:t>
      </w:r>
      <w:bookmarkEnd w:id="30"/>
    </w:p>
    <w:p>
      <w:pPr>
        <w:ind w:firstLine="643"/>
      </w:pPr>
      <w:r>
        <w:rPr>
          <w:b/>
          <w:bCs/>
        </w:rPr>
        <w:t>开展地下水环境状况调查评估。</w:t>
      </w:r>
      <w:r>
        <w:t>开展地下水型饮用水水源、保护区及补给区地下水环境状况调查，针对涉化学品企业、垃圾填埋场等地下水污染源及周边，开展地下水环境状况专项调查，评估地下水环境风险。（</w:t>
      </w:r>
      <w:r>
        <w:rPr>
          <w:rFonts w:hint="eastAsia"/>
        </w:rPr>
        <w:t>县</w:t>
      </w:r>
      <w:r>
        <w:t>生态环境</w:t>
      </w:r>
      <w:r>
        <w:rPr>
          <w:rFonts w:hint="eastAsia"/>
        </w:rPr>
        <w:t>局、县住建局、县水利局、县</w:t>
      </w:r>
      <w:r>
        <w:t>自然资源</w:t>
      </w:r>
      <w:r>
        <w:rPr>
          <w:rFonts w:hint="eastAsia"/>
        </w:rPr>
        <w:t>局</w:t>
      </w:r>
      <w:r>
        <w:t>按职责分工负责）</w:t>
      </w:r>
    </w:p>
    <w:p>
      <w:pPr>
        <w:ind w:firstLine="643"/>
      </w:pPr>
      <w:r>
        <w:rPr>
          <w:rFonts w:hint="eastAsia"/>
          <w:b/>
          <w:bCs/>
        </w:rPr>
        <w:t>强化</w:t>
      </w:r>
      <w:r>
        <w:rPr>
          <w:b/>
          <w:bCs/>
        </w:rPr>
        <w:t>地下水环境风险</w:t>
      </w:r>
      <w:r>
        <w:rPr>
          <w:rFonts w:hint="eastAsia"/>
          <w:b/>
          <w:bCs/>
        </w:rPr>
        <w:t>管控</w:t>
      </w:r>
      <w:r>
        <w:rPr>
          <w:b/>
          <w:bCs/>
        </w:rPr>
        <w:t>。</w:t>
      </w:r>
      <w:r>
        <w:rPr>
          <w:rFonts w:hint="eastAsia"/>
        </w:rPr>
        <w:t>推进</w:t>
      </w:r>
      <w:r>
        <w:t>地下水污染协同防治，防范企业地下水污染风险，强化工业聚集区和生活垃圾填埋场等地下水污染风险管控，推进地下水重点污染源的地下水自行监测工作</w:t>
      </w:r>
      <w:r>
        <w:rPr>
          <w:rFonts w:hint="eastAsia"/>
        </w:rPr>
        <w:t>。</w:t>
      </w:r>
      <w:r>
        <w:t>（</w:t>
      </w:r>
      <w:r>
        <w:rPr>
          <w:rFonts w:hint="eastAsia"/>
        </w:rPr>
        <w:t>县</w:t>
      </w:r>
      <w:r>
        <w:t>生态环境</w:t>
      </w:r>
      <w:r>
        <w:rPr>
          <w:rFonts w:hint="eastAsia"/>
        </w:rPr>
        <w:t>局、县工信局、县住建局、县</w:t>
      </w:r>
      <w:r>
        <w:t>自然资源</w:t>
      </w:r>
      <w:r>
        <w:rPr>
          <w:rFonts w:hint="eastAsia"/>
        </w:rPr>
        <w:t>局</w:t>
      </w:r>
      <w:r>
        <w:t>、</w:t>
      </w:r>
      <w:r>
        <w:rPr>
          <w:rFonts w:hint="eastAsia"/>
        </w:rPr>
        <w:t>县水利局</w:t>
      </w:r>
      <w:r>
        <w:t>按职责分工负责）</w:t>
      </w:r>
    </w:p>
    <w:p>
      <w:pPr>
        <w:pStyle w:val="3"/>
        <w:ind w:firstLine="643"/>
      </w:pPr>
      <w:bookmarkStart w:id="31" w:name="_Toc129926099"/>
      <w:r>
        <w:rPr>
          <w:rFonts w:hint="eastAsia"/>
        </w:rPr>
        <w:t>第四节 改善农村生产生活环境</w:t>
      </w:r>
      <w:bookmarkEnd w:id="31"/>
    </w:p>
    <w:p>
      <w:pPr>
        <w:ind w:firstLine="643"/>
        <w:rPr>
          <w:rFonts w:ascii="仿宋" w:hAnsi="仿宋" w:cs="Times New Roman"/>
        </w:rPr>
      </w:pPr>
      <w:r>
        <w:rPr>
          <w:rFonts w:hint="eastAsia" w:cs="Times New Roman"/>
          <w:b/>
        </w:rPr>
        <w:t>提升农村人居环境。</w:t>
      </w:r>
      <w:r>
        <w:rPr>
          <w:rFonts w:hint="eastAsia" w:cs="Times New Roman"/>
        </w:rPr>
        <w:t>深入实施农村人居环境整治提升行动，完善农村垃圾、污水收集处理设施和体系，持续推进农村厕所改造行动</w:t>
      </w:r>
      <w:r>
        <w:rPr>
          <w:rFonts w:hint="eastAsia" w:ascii="仿宋" w:hAnsi="仿宋" w:cs="Times New Roman"/>
        </w:rPr>
        <w:t>，到2025年，力争农村生活污水治理率达到25%。持续开</w:t>
      </w:r>
      <w:r>
        <w:rPr>
          <w:rFonts w:hint="eastAsia" w:ascii="仿宋" w:hAnsi="仿宋" w:cs="Times New Roman"/>
          <w:highlight w:val="none"/>
        </w:rPr>
        <w:t>展“干净人家”评</w:t>
      </w:r>
      <w:r>
        <w:rPr>
          <w:rFonts w:hint="eastAsia" w:ascii="仿宋" w:hAnsi="仿宋" w:cs="Times New Roman"/>
        </w:rPr>
        <w:t>选工作，鼓励创建宜居宜业美丽乡村示范村。开展农村黑臭水体整治行动，到2025年，基本消除较大面积的农村黑臭水体。</w:t>
      </w:r>
      <w:r>
        <w:rPr>
          <w:rFonts w:hint="eastAsia" w:cs="Times New Roman"/>
        </w:rPr>
        <w:t>（县农业农村局、县住建局、县生态环境局按职责分工负责）</w:t>
      </w:r>
    </w:p>
    <w:p>
      <w:pPr>
        <w:ind w:firstLine="643"/>
        <w:rPr>
          <w:rFonts w:cs="Times New Roman"/>
        </w:rPr>
      </w:pPr>
      <w:r>
        <w:rPr>
          <w:rFonts w:hint="eastAsia"/>
          <w:b/>
        </w:rPr>
        <w:t>加强农业污染治理。</w:t>
      </w:r>
      <w:r>
        <w:rPr>
          <w:rFonts w:hint="eastAsia"/>
        </w:rPr>
        <w:t>建设和更新改造农田防护林带</w:t>
      </w:r>
      <w:r>
        <w:rPr>
          <w:rFonts w:hint="eastAsia" w:cs="Times New Roman"/>
        </w:rPr>
        <w:t>、生态护渠</w:t>
      </w:r>
      <w:r>
        <w:rPr>
          <w:rFonts w:hint="eastAsia"/>
        </w:rPr>
        <w:t>。实施化肥农药减量增效行动和农膜回收行动。加强种养结合，</w:t>
      </w:r>
      <w:r>
        <w:rPr>
          <w:rFonts w:hint="eastAsia" w:cs="Times New Roman"/>
        </w:rPr>
        <w:t>持续推进畜禽粪污资源化利用，鼓励规模以下畜禽养殖户采用“种养结合”“截污建池、收运还田”等生态农业模式。大力推广使用生物化肥、有机肥，减少农药、化肥污染，不断提高土壤有机质含量。（县农业农村局负责）</w:t>
      </w:r>
    </w:p>
    <w:p>
      <w:pPr>
        <w:ind w:firstLine="640"/>
        <w:rPr>
          <w:rFonts w:cs="Times New Roman"/>
        </w:rPr>
      </w:pPr>
    </w:p>
    <w:p>
      <w:pPr>
        <w:ind w:firstLine="640"/>
        <w:rPr>
          <w:rFonts w:cs="Times New Roma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00" w:lineRule="auto"/>
              <w:ind w:firstLine="482"/>
              <w:jc w:val="center"/>
              <w:rPr>
                <w:sz w:val="24"/>
                <w:szCs w:val="24"/>
              </w:rPr>
            </w:pPr>
            <w:r>
              <w:rPr>
                <w:rFonts w:ascii="仿宋" w:hAnsi="仿宋"/>
                <w:b/>
                <w:sz w:val="24"/>
                <w:szCs w:val="24"/>
              </w:rPr>
              <w:t>专栏</w:t>
            </w:r>
            <w:r>
              <w:rPr>
                <w:rFonts w:hint="eastAsia"/>
                <w:b/>
                <w:sz w:val="24"/>
                <w:szCs w:val="24"/>
              </w:rPr>
              <w:t>4</w:t>
            </w:r>
            <w:r>
              <w:rPr>
                <w:rFonts w:ascii="仿宋" w:hAnsi="仿宋"/>
                <w:b/>
                <w:sz w:val="24"/>
                <w:szCs w:val="24"/>
              </w:rPr>
              <w:t>　</w:t>
            </w:r>
            <w:r>
              <w:rPr>
                <w:rFonts w:hint="eastAsia" w:ascii="仿宋" w:hAnsi="仿宋"/>
                <w:b/>
                <w:sz w:val="24"/>
                <w:szCs w:val="24"/>
              </w:rPr>
              <w:t>土壤、地下水和农村环境污染防治工程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overflowPunct w:val="0"/>
              <w:topLinePunct/>
              <w:adjustRightInd w:val="0"/>
              <w:snapToGrid w:val="0"/>
              <w:spacing w:line="300" w:lineRule="auto"/>
              <w:ind w:firstLine="480"/>
              <w:rPr>
                <w:rFonts w:ascii="仿宋" w:hAnsi="仿宋"/>
                <w:bCs/>
                <w:sz w:val="24"/>
                <w:szCs w:val="24"/>
              </w:rPr>
            </w:pPr>
            <w:r>
              <w:rPr>
                <w:rFonts w:hint="eastAsia" w:ascii="仿宋" w:hAnsi="仿宋"/>
                <w:bCs/>
                <w:sz w:val="24"/>
                <w:szCs w:val="24"/>
              </w:rPr>
              <w:t>（一）地下水环境调查工程。</w:t>
            </w:r>
          </w:p>
          <w:p>
            <w:pPr>
              <w:overflowPunct w:val="0"/>
              <w:topLinePunct/>
              <w:adjustRightInd w:val="0"/>
              <w:snapToGrid w:val="0"/>
              <w:spacing w:line="300" w:lineRule="auto"/>
              <w:ind w:firstLine="480"/>
              <w:rPr>
                <w:rFonts w:ascii="仿宋" w:hAnsi="仿宋"/>
                <w:bCs/>
                <w:sz w:val="24"/>
                <w:szCs w:val="24"/>
              </w:rPr>
            </w:pPr>
            <w:r>
              <w:rPr>
                <w:rFonts w:hint="eastAsia" w:ascii="仿宋" w:hAnsi="仿宋"/>
                <w:bCs/>
                <w:sz w:val="24"/>
                <w:szCs w:val="24"/>
              </w:rPr>
              <w:t>开展地下水型饮用水源底数调查，建立垃圾填埋场等重点污染源管控清单。</w:t>
            </w:r>
          </w:p>
          <w:p>
            <w:pPr>
              <w:overflowPunct w:val="0"/>
              <w:topLinePunct/>
              <w:adjustRightInd w:val="0"/>
              <w:snapToGrid w:val="0"/>
              <w:spacing w:line="300" w:lineRule="auto"/>
              <w:ind w:firstLine="480"/>
              <w:rPr>
                <w:rFonts w:ascii="仿宋" w:hAnsi="仿宋"/>
                <w:bCs/>
                <w:sz w:val="24"/>
                <w:szCs w:val="24"/>
                <w:highlight w:val="none"/>
              </w:rPr>
            </w:pPr>
            <w:r>
              <w:rPr>
                <w:rFonts w:hint="eastAsia" w:ascii="仿宋" w:hAnsi="仿宋"/>
                <w:bCs/>
                <w:sz w:val="24"/>
                <w:szCs w:val="24"/>
              </w:rPr>
              <w:t>（二）农村人居环境整治</w:t>
            </w:r>
            <w:r>
              <w:rPr>
                <w:rFonts w:hint="eastAsia" w:ascii="仿宋" w:hAnsi="仿宋"/>
                <w:bCs/>
                <w:sz w:val="24"/>
                <w:szCs w:val="24"/>
                <w:highlight w:val="none"/>
              </w:rPr>
              <w:t>提升工程。</w:t>
            </w:r>
          </w:p>
          <w:p>
            <w:pPr>
              <w:overflowPunct w:val="0"/>
              <w:topLinePunct/>
              <w:adjustRightInd w:val="0"/>
              <w:snapToGrid w:val="0"/>
              <w:spacing w:line="300" w:lineRule="auto"/>
              <w:ind w:firstLine="480"/>
              <w:rPr>
                <w:rFonts w:ascii="仿宋" w:hAnsi="仿宋"/>
                <w:bCs/>
                <w:sz w:val="24"/>
                <w:szCs w:val="24"/>
                <w:highlight w:val="none"/>
              </w:rPr>
            </w:pPr>
            <w:r>
              <w:rPr>
                <w:rFonts w:hint="eastAsia" w:ascii="仿宋" w:hAnsi="仿宋"/>
                <w:bCs/>
                <w:sz w:val="24"/>
                <w:szCs w:val="24"/>
                <w:highlight w:val="none"/>
              </w:rPr>
              <w:t>实施农村生活垃圾处理工程、生活</w:t>
            </w:r>
            <w:r>
              <w:rPr>
                <w:rFonts w:hint="eastAsia" w:ascii="仿宋" w:hAnsi="仿宋"/>
                <w:bCs/>
                <w:sz w:val="24"/>
                <w:szCs w:val="24"/>
                <w:highlight w:val="none"/>
                <w:lang w:eastAsia="zh-CN"/>
              </w:rPr>
              <w:t>污水</w:t>
            </w:r>
            <w:r>
              <w:rPr>
                <w:rFonts w:hint="eastAsia" w:ascii="仿宋" w:hAnsi="仿宋"/>
                <w:bCs/>
                <w:sz w:val="24"/>
                <w:szCs w:val="24"/>
                <w:highlight w:val="none"/>
              </w:rPr>
              <w:t>处理工程、农村厕所改造工程。</w:t>
            </w:r>
          </w:p>
          <w:p>
            <w:pPr>
              <w:overflowPunct w:val="0"/>
              <w:topLinePunct/>
              <w:adjustRightInd w:val="0"/>
              <w:snapToGrid w:val="0"/>
              <w:spacing w:line="300" w:lineRule="auto"/>
              <w:ind w:firstLine="480"/>
              <w:rPr>
                <w:rFonts w:ascii="仿宋" w:hAnsi="仿宋"/>
                <w:bCs/>
                <w:sz w:val="24"/>
                <w:szCs w:val="24"/>
                <w:highlight w:val="none"/>
              </w:rPr>
            </w:pPr>
            <w:r>
              <w:rPr>
                <w:rFonts w:hint="eastAsia" w:ascii="仿宋" w:hAnsi="仿宋"/>
                <w:bCs/>
                <w:sz w:val="24"/>
                <w:szCs w:val="24"/>
                <w:highlight w:val="none"/>
              </w:rPr>
              <w:t>开展农村黑臭水体排查和治理。</w:t>
            </w:r>
          </w:p>
          <w:p>
            <w:pPr>
              <w:overflowPunct w:val="0"/>
              <w:topLinePunct/>
              <w:adjustRightInd w:val="0"/>
              <w:snapToGrid w:val="0"/>
              <w:spacing w:line="300" w:lineRule="auto"/>
              <w:ind w:firstLine="480"/>
              <w:rPr>
                <w:rFonts w:ascii="仿宋" w:hAnsi="仿宋"/>
                <w:bCs/>
                <w:sz w:val="24"/>
                <w:szCs w:val="24"/>
                <w:highlight w:val="none"/>
              </w:rPr>
            </w:pPr>
            <w:r>
              <w:rPr>
                <w:rFonts w:hint="eastAsia" w:ascii="仿宋" w:hAnsi="仿宋"/>
                <w:bCs/>
                <w:sz w:val="24"/>
                <w:szCs w:val="24"/>
                <w:highlight w:val="none"/>
              </w:rPr>
              <w:t>（三）美丽乡村建设工程</w:t>
            </w:r>
          </w:p>
          <w:p>
            <w:pPr>
              <w:overflowPunct w:val="0"/>
              <w:topLinePunct/>
              <w:adjustRightInd w:val="0"/>
              <w:snapToGrid w:val="0"/>
              <w:spacing w:line="300" w:lineRule="auto"/>
              <w:ind w:firstLine="480"/>
              <w:rPr>
                <w:bCs/>
                <w:sz w:val="24"/>
                <w:szCs w:val="24"/>
              </w:rPr>
            </w:pPr>
            <w:r>
              <w:rPr>
                <w:rFonts w:hint="eastAsia" w:ascii="仿宋" w:hAnsi="仿宋"/>
                <w:bCs/>
                <w:sz w:val="24"/>
                <w:szCs w:val="24"/>
                <w:highlight w:val="none"/>
              </w:rPr>
              <w:t>推动建设“干净人家”。</w:t>
            </w:r>
          </w:p>
        </w:tc>
      </w:tr>
    </w:tbl>
    <w:p>
      <w:pPr>
        <w:ind w:firstLine="640"/>
      </w:pPr>
    </w:p>
    <w:p>
      <w:pPr>
        <w:pStyle w:val="2"/>
        <w:pageBreakBefore/>
        <w:ind w:firstLine="0" w:firstLineChars="0"/>
      </w:pPr>
      <w:bookmarkStart w:id="32" w:name="_Toc129926100"/>
      <w:r>
        <w:rPr>
          <w:rFonts w:hint="eastAsia"/>
        </w:rPr>
        <w:t>第七章 加强生态保护 牢筑生态安全屏障</w:t>
      </w:r>
      <w:bookmarkEnd w:id="32"/>
    </w:p>
    <w:p>
      <w:pPr>
        <w:ind w:firstLine="640"/>
      </w:pPr>
      <w:r>
        <w:rPr>
          <w:rFonts w:hint="eastAsia"/>
        </w:rPr>
        <w:t>牢固树立“山水林田湖草沙生命共同体”理念，统筹推进生态保护、生态系统建设与生态修复及生物多样性保护，完善自然保护地保护机制，开展湿地保护与修复，筑牢生态安全格局，提升生态系统服务。</w:t>
      </w:r>
    </w:p>
    <w:p>
      <w:pPr>
        <w:pStyle w:val="3"/>
        <w:ind w:firstLine="643"/>
      </w:pPr>
      <w:bookmarkStart w:id="33" w:name="_Toc129926101"/>
      <w:r>
        <w:rPr>
          <w:rFonts w:hint="eastAsia"/>
        </w:rPr>
        <w:t>第一节 推进森林生态保护修复</w:t>
      </w:r>
      <w:bookmarkEnd w:id="33"/>
    </w:p>
    <w:p>
      <w:pPr>
        <w:ind w:firstLine="643"/>
        <w:rPr>
          <w:rFonts w:ascii="仿宋" w:hAnsi="仿宋"/>
        </w:rPr>
      </w:pPr>
      <w:r>
        <w:rPr>
          <w:rFonts w:hint="eastAsia" w:ascii="仿宋" w:hAnsi="仿宋"/>
          <w:b/>
          <w:bCs/>
        </w:rPr>
        <w:t>强化林地生态保护修复。</w:t>
      </w:r>
      <w:bookmarkStart w:id="34" w:name="_Toc8556"/>
      <w:r>
        <w:rPr>
          <w:rFonts w:hint="eastAsia" w:ascii="仿宋" w:hAnsi="仿宋"/>
          <w:bCs/>
        </w:rPr>
        <w:t>建立健全森林资源保护发展长效机制，</w:t>
      </w:r>
      <w:r>
        <w:rPr>
          <w:rFonts w:hint="eastAsia" w:ascii="仿宋" w:hAnsi="仿宋"/>
        </w:rPr>
        <w:t>在符合条件的25度以上农林交错带、缓坡和重要水源地、15～25度坡耕地，开展还林造林工程，</w:t>
      </w:r>
      <w:r>
        <w:rPr>
          <w:rFonts w:hint="eastAsia" w:ascii="仿宋" w:hAnsi="仿宋"/>
          <w:bCs/>
        </w:rPr>
        <w:t>不断夯实现代化建设绿色基底。</w:t>
      </w:r>
      <w:r>
        <w:rPr>
          <w:rFonts w:ascii="仿宋" w:hAnsi="仿宋"/>
        </w:rPr>
        <w:t>（</w:t>
      </w:r>
      <w:r>
        <w:rPr>
          <w:rFonts w:hint="eastAsia" w:ascii="仿宋" w:hAnsi="仿宋"/>
          <w:lang w:eastAsia="zh-CN"/>
        </w:rPr>
        <w:t>县自然资源局</w:t>
      </w:r>
      <w:r>
        <w:rPr>
          <w:rFonts w:ascii="仿宋" w:hAnsi="仿宋"/>
        </w:rPr>
        <w:t>按职责分工负责）</w:t>
      </w:r>
    </w:p>
    <w:p>
      <w:pPr>
        <w:ind w:firstLine="643"/>
      </w:pPr>
      <w:r>
        <w:rPr>
          <w:rFonts w:hint="eastAsia"/>
          <w:b/>
          <w:bCs/>
        </w:rPr>
        <w:t>严格落实林地保护利用</w:t>
      </w:r>
      <w:r>
        <w:rPr>
          <w:b/>
          <w:bCs/>
        </w:rPr>
        <w:t>。</w:t>
      </w:r>
      <w:r>
        <w:rPr>
          <w:rFonts w:hint="eastAsia"/>
          <w:bCs/>
        </w:rPr>
        <w:t>严格实施“天保工程”和自然保护区核心区天然林修复保护措施。严格控制林地转为其他农用地，禁止毁林开垦、毁林造塘、毁林种参等蚕食林地行为，坚决依法打击滥砍盗伐的犯罪行为。严格控制占用国家级公益林地和天然林林地。加强林业有害生物防控体系建设，保障森林资源安全。</w:t>
      </w:r>
      <w:r>
        <w:t>（</w:t>
      </w:r>
      <w:r>
        <w:rPr>
          <w:rFonts w:hint="eastAsia"/>
          <w:lang w:eastAsia="zh-CN"/>
        </w:rPr>
        <w:t>县自然资源局</w:t>
      </w:r>
      <w:r>
        <w:rPr>
          <w:rFonts w:hint="eastAsia"/>
        </w:rPr>
        <w:t>、县公安局</w:t>
      </w:r>
      <w:r>
        <w:t>按职责分工负责）</w:t>
      </w:r>
    </w:p>
    <w:bookmarkEnd w:id="34"/>
    <w:p>
      <w:pPr>
        <w:pStyle w:val="3"/>
        <w:ind w:firstLine="643"/>
      </w:pPr>
      <w:bookmarkStart w:id="35" w:name="_Toc129926102"/>
      <w:r>
        <w:rPr>
          <w:rFonts w:hint="eastAsia"/>
        </w:rPr>
        <w:t>第二节 推进自然保护地保护修复</w:t>
      </w:r>
      <w:bookmarkEnd w:id="35"/>
    </w:p>
    <w:p>
      <w:pPr>
        <w:ind w:firstLine="643"/>
      </w:pPr>
      <w:r>
        <w:rPr>
          <w:rFonts w:hint="eastAsia"/>
          <w:b/>
          <w:bCs/>
        </w:rPr>
        <w:t>探索构建自然保护地管理体系。</w:t>
      </w:r>
      <w:bookmarkStart w:id="36" w:name="_Toc28301"/>
      <w:r>
        <w:rPr>
          <w:rFonts w:hint="eastAsia"/>
          <w:bCs/>
        </w:rPr>
        <w:t>从生态系统整体性着手，</w:t>
      </w:r>
      <w:r>
        <w:rPr>
          <w:rFonts w:hint="eastAsia"/>
          <w:kern w:val="0"/>
        </w:rPr>
        <w:t>构建以国家公园为主体、自然保护区为基础、各类自然公园为补充的自然保护地体系。推进自然保护地勘界立标，构建并实施自然保护地分类、分区规范管理体制机制。（县自然资源局、县生态环境局按职责分工负责）</w:t>
      </w:r>
    </w:p>
    <w:bookmarkEnd w:id="36"/>
    <w:p>
      <w:pPr>
        <w:ind w:firstLine="643"/>
        <w:rPr>
          <w:bCs/>
        </w:rPr>
      </w:pPr>
      <w:r>
        <w:rPr>
          <w:rFonts w:hint="eastAsia"/>
          <w:b/>
          <w:bCs/>
        </w:rPr>
        <w:t>加强</w:t>
      </w:r>
      <w:r>
        <w:rPr>
          <w:rFonts w:hint="eastAsia"/>
          <w:b/>
        </w:rPr>
        <w:t>自然保护地</w:t>
      </w:r>
      <w:r>
        <w:rPr>
          <w:rFonts w:hint="eastAsia"/>
          <w:b/>
          <w:bCs/>
        </w:rPr>
        <w:t>监督管理。</w:t>
      </w:r>
      <w:r>
        <w:rPr>
          <w:rFonts w:hint="eastAsia"/>
          <w:bCs/>
        </w:rPr>
        <w:t>做好自然保护地人类活动情况监测，做到问题早发现、案件早查处、隐患早排除，确保自然保护地平稳有序健康发展。（县生态环境局、</w:t>
      </w:r>
      <w:r>
        <w:rPr>
          <w:rFonts w:hint="eastAsia"/>
          <w:bCs/>
          <w:lang w:eastAsia="zh-CN"/>
        </w:rPr>
        <w:t>县自然资源局</w:t>
      </w:r>
      <w:r>
        <w:rPr>
          <w:rFonts w:hint="eastAsia"/>
          <w:bCs/>
        </w:rPr>
        <w:t>、县农业农村局、县公安局按职责分工负责）</w:t>
      </w:r>
    </w:p>
    <w:p>
      <w:pPr>
        <w:pStyle w:val="3"/>
        <w:ind w:firstLine="643"/>
      </w:pPr>
      <w:bookmarkStart w:id="37" w:name="_Toc129926103"/>
      <w:r>
        <w:rPr>
          <w:rFonts w:hint="eastAsia"/>
        </w:rPr>
        <w:t>第三节 实施湿地综合治理</w:t>
      </w:r>
      <w:bookmarkEnd w:id="37"/>
    </w:p>
    <w:p>
      <w:pPr>
        <w:ind w:firstLine="643"/>
      </w:pPr>
      <w:r>
        <w:rPr>
          <w:rFonts w:hint="eastAsia"/>
          <w:b/>
        </w:rPr>
        <w:t>提升湿地保护管理水平。</w:t>
      </w:r>
      <w:r>
        <w:rPr>
          <w:rFonts w:hint="eastAsia"/>
        </w:rPr>
        <w:t>巩固湿地保卫战实施成果，健全湿地保护制度。开展“世界湿地日”宣传活动，宣传湿地保护知识。积极开展湿地重建、湿地环境整治。保护滩涂湿地，实施湿地恢复工程，恢复湿地植被，建设生态型湿地。打击擅自征收、占用和破坏湿地行为（</w:t>
      </w:r>
      <w:r>
        <w:rPr>
          <w:rFonts w:hint="eastAsia"/>
          <w:lang w:eastAsia="zh-CN"/>
        </w:rPr>
        <w:t>县自然资源局</w:t>
      </w:r>
      <w:r>
        <w:rPr>
          <w:rFonts w:hint="eastAsia"/>
        </w:rPr>
        <w:t>负责）</w:t>
      </w:r>
    </w:p>
    <w:p>
      <w:pPr>
        <w:pStyle w:val="3"/>
        <w:ind w:firstLine="643"/>
      </w:pPr>
      <w:bookmarkStart w:id="38" w:name="_Toc129926104"/>
      <w:r>
        <w:rPr>
          <w:rFonts w:hint="eastAsia"/>
        </w:rPr>
        <w:t>第四节 加强生物多样性保护</w:t>
      </w:r>
      <w:bookmarkEnd w:id="38"/>
    </w:p>
    <w:p>
      <w:pPr>
        <w:ind w:firstLine="643"/>
      </w:pPr>
      <w:r>
        <w:rPr>
          <w:rFonts w:hint="eastAsia"/>
          <w:b/>
        </w:rPr>
        <w:t>夯实生物多样性保护基础。</w:t>
      </w:r>
      <w:r>
        <w:rPr>
          <w:rFonts w:hint="eastAsia"/>
        </w:rPr>
        <w:t>严格自然保护地、生态保护红线监管制度。制定全县重点保护野生动植物清单，优先保护珍稀、濒危、特有物种、生物关键种及种质遗传基因。</w:t>
      </w:r>
      <w:r>
        <w:rPr>
          <w:rFonts w:hint="eastAsia"/>
          <w:bCs/>
        </w:rPr>
        <w:t>到2025年，国家重点保护野生动植物物种保护率达到95%以上。</w:t>
      </w:r>
      <w:r>
        <w:rPr>
          <w:rFonts w:hint="eastAsia"/>
        </w:rPr>
        <w:t>（县生态环境局、县农业农村局、</w:t>
      </w:r>
      <w:r>
        <w:rPr>
          <w:rFonts w:hint="eastAsia"/>
          <w:lang w:eastAsia="zh-CN"/>
        </w:rPr>
        <w:t>县自然资源局</w:t>
      </w:r>
      <w:r>
        <w:rPr>
          <w:rFonts w:hint="eastAsia"/>
        </w:rPr>
        <w:t>、保护区管理局按职责分工负责）</w:t>
      </w:r>
    </w:p>
    <w:p>
      <w:pPr>
        <w:ind w:firstLine="643"/>
      </w:pPr>
      <w:r>
        <w:rPr>
          <w:rFonts w:hint="eastAsia"/>
          <w:b/>
        </w:rPr>
        <w:t>加强生物物种安全管控。</w:t>
      </w:r>
      <w:r>
        <w:rPr>
          <w:rFonts w:hint="eastAsia"/>
        </w:rPr>
        <w:t>持续开展外来物种入侵的调查、监测和预警，加强对对自然保护地、生物多样性保护优先区域等重点区域外来入侵物种防控工作的监督，开展自然保护地外来入侵物种防控成效评估。严厉打击野生动植物制品非法交易。（县生态环境局、县农业农村局、</w:t>
      </w:r>
      <w:r>
        <w:rPr>
          <w:rFonts w:hint="eastAsia"/>
          <w:lang w:eastAsia="zh-CN"/>
        </w:rPr>
        <w:t>县自然资源局</w:t>
      </w:r>
      <w:r>
        <w:rPr>
          <w:rFonts w:hint="eastAsia"/>
        </w:rPr>
        <w:t>、保护区管理局按职责分工负责）</w:t>
      </w:r>
    </w:p>
    <w:p>
      <w:pPr>
        <w:pStyle w:val="3"/>
        <w:ind w:firstLine="643"/>
      </w:pPr>
      <w:bookmarkStart w:id="39" w:name="_Toc129926105"/>
      <w:r>
        <w:rPr>
          <w:rFonts w:hint="eastAsia"/>
        </w:rPr>
        <w:t>第五节 完善生态示范创建体系</w:t>
      </w:r>
      <w:bookmarkEnd w:id="39"/>
    </w:p>
    <w:p>
      <w:pPr>
        <w:ind w:firstLine="643"/>
      </w:pPr>
      <w:r>
        <w:rPr>
          <w:rFonts w:hint="eastAsia"/>
          <w:b/>
        </w:rPr>
        <w:t>争创国家生态区和“两山”实践基地。</w:t>
      </w:r>
      <w:r>
        <w:rPr>
          <w:rFonts w:hint="eastAsia"/>
        </w:rPr>
        <w:t>按照生态强省的战略要求，力争创建国家生态文明建设示范区、“绿水青山就是金山银山”实践创新基地。形成部门协同、上下联动、全社会参与的工作格局。（县生态环境局牵头，各</w:t>
      </w:r>
      <w:r>
        <w:rPr>
          <w:rFonts w:hint="eastAsia"/>
          <w:lang w:eastAsia="zh-CN"/>
        </w:rPr>
        <w:t>责任</w:t>
      </w:r>
      <w:r>
        <w:rPr>
          <w:rFonts w:hint="eastAsia"/>
        </w:rPr>
        <w:t>部门按职责分工负责）</w:t>
      </w:r>
    </w:p>
    <w:p>
      <w:pPr>
        <w:ind w:firstLine="640"/>
      </w:pPr>
    </w:p>
    <w:p>
      <w:pPr>
        <w:pStyle w:val="2"/>
        <w:pageBreakBefore/>
        <w:ind w:firstLine="0" w:firstLineChars="0"/>
        <w:sectPr>
          <w:pgSz w:w="11906" w:h="16838"/>
          <w:pgMar w:top="1440" w:right="1800" w:bottom="1440" w:left="1800" w:header="851" w:footer="992" w:gutter="0"/>
          <w:cols w:space="425" w:num="1"/>
          <w:docGrid w:type="lines" w:linePitch="312" w:charSpace="0"/>
        </w:sectPr>
      </w:pPr>
    </w:p>
    <w:p>
      <w:pPr>
        <w:pStyle w:val="2"/>
        <w:pageBreakBefore/>
        <w:ind w:firstLine="0" w:firstLineChars="0"/>
      </w:pPr>
      <w:bookmarkStart w:id="40" w:name="_Toc129926106"/>
      <w:r>
        <w:rPr>
          <w:rFonts w:hint="eastAsia"/>
        </w:rPr>
        <w:t>第八章 强化系统管控 防控生态环境风险</w:t>
      </w:r>
      <w:bookmarkEnd w:id="40"/>
    </w:p>
    <w:p>
      <w:pPr>
        <w:ind w:firstLine="640"/>
      </w:pPr>
      <w:r>
        <w:rPr>
          <w:rFonts w:hint="eastAsia"/>
        </w:rPr>
        <w:t>严格</w:t>
      </w:r>
      <w:r>
        <w:t>环境准入管理</w:t>
      </w:r>
      <w:r>
        <w:rPr>
          <w:rFonts w:hint="eastAsia"/>
        </w:rPr>
        <w:t>，</w:t>
      </w:r>
      <w:r>
        <w:t>加强核与辐射安全监管</w:t>
      </w:r>
      <w:r>
        <w:rPr>
          <w:rFonts w:hint="eastAsia"/>
        </w:rPr>
        <w:t>，</w:t>
      </w:r>
      <w:r>
        <w:t>强化危险废物和化学品等高风险领域的风险防控</w:t>
      </w:r>
      <w:r>
        <w:rPr>
          <w:rFonts w:hint="eastAsia"/>
        </w:rPr>
        <w:t>，</w:t>
      </w:r>
      <w:r>
        <w:t>加强重金属污染防控</w:t>
      </w:r>
      <w:r>
        <w:rPr>
          <w:rFonts w:hint="eastAsia"/>
        </w:rPr>
        <w:t>，完善工业固体废物利用处置体系，推进“无废城市”建设，</w:t>
      </w:r>
      <w:r>
        <w:t>坚决守住环境安全底线</w:t>
      </w:r>
      <w:r>
        <w:rPr>
          <w:rFonts w:hint="eastAsia"/>
        </w:rPr>
        <w:t>，</w:t>
      </w:r>
      <w:r>
        <w:t>切实维护环境安全。</w:t>
      </w:r>
    </w:p>
    <w:p>
      <w:pPr>
        <w:pStyle w:val="3"/>
        <w:ind w:firstLine="643"/>
      </w:pPr>
      <w:bookmarkStart w:id="41" w:name="_Toc129926107"/>
      <w:r>
        <w:rPr>
          <w:rFonts w:hint="eastAsia"/>
        </w:rPr>
        <w:t>第一节 加强辐射与重金属风险防控</w:t>
      </w:r>
      <w:bookmarkEnd w:id="41"/>
    </w:p>
    <w:p>
      <w:pPr>
        <w:ind w:firstLine="643"/>
      </w:pPr>
      <w:r>
        <w:rPr>
          <w:b/>
          <w:bCs/>
        </w:rPr>
        <w:t>强化行政执法监督。</w:t>
      </w:r>
      <w:r>
        <w:t>加强辐射安全许可管理，定期组织对科研机构等行业单位开展辐射安全专项检查。提升核与辐射环境监管水平</w:t>
      </w:r>
      <w:r>
        <w:rPr>
          <w:rFonts w:hint="eastAsia"/>
        </w:rPr>
        <w:t>，</w:t>
      </w:r>
      <w:r>
        <w:t>加强电磁辐射污染防治</w:t>
      </w:r>
      <w:r>
        <w:rPr>
          <w:rFonts w:hint="eastAsia"/>
        </w:rPr>
        <w:t>。提升辐射安全监管能力，强化事中事后监管。规范国家核技术利用监管系统应用。</w:t>
      </w:r>
      <w:r>
        <w:t>（</w:t>
      </w:r>
      <w:r>
        <w:rPr>
          <w:rFonts w:hint="eastAsia"/>
        </w:rPr>
        <w:t>县生态环境局</w:t>
      </w:r>
      <w:r>
        <w:t>负责）</w:t>
      </w:r>
    </w:p>
    <w:p>
      <w:pPr>
        <w:ind w:firstLine="643"/>
      </w:pPr>
      <w:r>
        <w:rPr>
          <w:rFonts w:hint="eastAsia"/>
          <w:b/>
          <w:bCs/>
        </w:rPr>
        <w:t>提升</w:t>
      </w:r>
      <w:r>
        <w:rPr>
          <w:b/>
          <w:bCs/>
        </w:rPr>
        <w:t>核与辐射应急响应</w:t>
      </w:r>
      <w:r>
        <w:rPr>
          <w:rFonts w:hint="eastAsia"/>
          <w:b/>
          <w:bCs/>
        </w:rPr>
        <w:t>能力</w:t>
      </w:r>
      <w:r>
        <w:rPr>
          <w:b/>
          <w:bCs/>
        </w:rPr>
        <w:t>。</w:t>
      </w:r>
      <w:r>
        <w:rPr>
          <w:bCs/>
        </w:rPr>
        <w:t>制定并定期修订辐射事故应急预案</w:t>
      </w:r>
      <w:r>
        <w:rPr>
          <w:rFonts w:hint="eastAsia"/>
          <w:bCs/>
        </w:rPr>
        <w:t>，</w:t>
      </w:r>
      <w:r>
        <w:rPr>
          <w:bCs/>
        </w:rPr>
        <w:t>加强部门联动</w:t>
      </w:r>
      <w:r>
        <w:rPr>
          <w:rFonts w:hint="eastAsia"/>
          <w:bCs/>
        </w:rPr>
        <w:t>，定期组织应急演练。配备必要的</w:t>
      </w:r>
      <w:r>
        <w:t>应急装备和物资</w:t>
      </w:r>
      <w:r>
        <w:rPr>
          <w:rFonts w:hint="eastAsia"/>
        </w:rPr>
        <w:t>，</w:t>
      </w:r>
      <w:r>
        <w:t>完善物资保障机制</w:t>
      </w:r>
      <w:r>
        <w:rPr>
          <w:rFonts w:hint="eastAsia"/>
        </w:rPr>
        <w:t>。</w:t>
      </w:r>
      <w:r>
        <w:t>（</w:t>
      </w:r>
      <w:r>
        <w:rPr>
          <w:rFonts w:hint="eastAsia"/>
        </w:rPr>
        <w:t>县生态环境局、县应急管理局</w:t>
      </w:r>
      <w:r>
        <w:t>按职责分工负责）</w:t>
      </w:r>
    </w:p>
    <w:p>
      <w:pPr>
        <w:ind w:firstLine="643"/>
      </w:pPr>
      <w:r>
        <w:rPr>
          <w:rFonts w:hint="eastAsia"/>
          <w:b/>
        </w:rPr>
        <w:t>推进重金属污染风险防治</w:t>
      </w:r>
      <w:r>
        <w:rPr>
          <w:rFonts w:hint="eastAsia"/>
        </w:rPr>
        <w:t>。严格涉重金属企业环境准入，加强涉及铅、镉、汞、铬、砷等重金属排放的重点行业建设项目环评审批。遵循重点重金属污染物排放“等量替代”原则，建设项目应明确重点重金属污染物排放总量及来源。（县生态环境局负责）</w:t>
      </w:r>
    </w:p>
    <w:p>
      <w:pPr>
        <w:ind w:firstLine="643"/>
      </w:pPr>
      <w:r>
        <w:rPr>
          <w:rFonts w:hint="eastAsia"/>
          <w:b/>
        </w:rPr>
        <w:t>提升化学品污染防控水平。</w:t>
      </w:r>
      <w:r>
        <w:rPr>
          <w:rFonts w:hint="eastAsia"/>
        </w:rPr>
        <w:t>开展有毒有害化学品企业调查，摸清涉化学品行业企业分布及风险隐患情况，完善化学品管理体系，落实环境管理制度，建立有效的化学品基础信息收集管理体系。加强重点行业危险化学品全过程环境监管。（县生态环境局负责）</w:t>
      </w:r>
    </w:p>
    <w:p>
      <w:pPr>
        <w:pStyle w:val="3"/>
        <w:ind w:firstLine="643"/>
      </w:pPr>
      <w:bookmarkStart w:id="42" w:name="_Toc129926108"/>
      <w:r>
        <w:rPr>
          <w:rFonts w:hint="eastAsia"/>
        </w:rPr>
        <w:t>第二节 提升危险废物防控水平</w:t>
      </w:r>
      <w:bookmarkEnd w:id="42"/>
    </w:p>
    <w:p>
      <w:pPr>
        <w:ind w:firstLine="643"/>
      </w:pPr>
      <w:r>
        <w:rPr>
          <w:rFonts w:hint="eastAsia"/>
          <w:b/>
        </w:rPr>
        <w:t>加大危险废物环境监管力度。</w:t>
      </w:r>
      <w:r>
        <w:rPr>
          <w:rFonts w:hint="eastAsia"/>
        </w:rPr>
        <w:t>建立并定期更新危险废物产生单位清单，强化清单内企业日常环境监管，加大</w:t>
      </w:r>
      <w:r>
        <w:t>危险废物收集、贮存、利用、处置等全过程监管力度</w:t>
      </w:r>
      <w:r>
        <w:rPr>
          <w:rFonts w:hint="eastAsia"/>
        </w:rPr>
        <w:t>。依法</w:t>
      </w:r>
      <w:r>
        <w:t>严厉打击危险废物非法转移</w:t>
      </w:r>
      <w:r>
        <w:rPr>
          <w:rFonts w:hint="eastAsia"/>
        </w:rPr>
        <w:t>、</w:t>
      </w:r>
      <w:r>
        <w:t>倾倒</w:t>
      </w:r>
      <w:r>
        <w:rPr>
          <w:rFonts w:hint="eastAsia"/>
        </w:rPr>
        <w:t>、</w:t>
      </w:r>
      <w:r>
        <w:t>处置等环境违法犯罪行为</w:t>
      </w:r>
      <w:r>
        <w:rPr>
          <w:rFonts w:hint="eastAsia"/>
        </w:rPr>
        <w:t>。</w:t>
      </w:r>
      <w:r>
        <w:t>（</w:t>
      </w:r>
      <w:r>
        <w:rPr>
          <w:rFonts w:hint="eastAsia"/>
        </w:rPr>
        <w:t>县生态环境局、县公安局</w:t>
      </w:r>
      <w:r>
        <w:t>按职责分工负责）</w:t>
      </w:r>
    </w:p>
    <w:p>
      <w:pPr>
        <w:ind w:firstLine="643"/>
      </w:pPr>
      <w:r>
        <w:rPr>
          <w:b/>
          <w:bCs/>
        </w:rPr>
        <w:t>加强医疗废物安全处置。</w:t>
      </w:r>
      <w:r>
        <w:t>加强医疗废物分类管理，做好源头分类，完善医疗废物收集转运处置体系</w:t>
      </w:r>
      <w:r>
        <w:rPr>
          <w:rFonts w:hint="eastAsia"/>
        </w:rPr>
        <w:t>。</w:t>
      </w:r>
      <w:r>
        <w:t>建立平战结合的医疗废物应急处置体系</w:t>
      </w:r>
      <w:r>
        <w:rPr>
          <w:rFonts w:hint="eastAsia"/>
        </w:rPr>
        <w:t>。到2025年，</w:t>
      </w:r>
      <w:r>
        <w:t>医疗废物</w:t>
      </w:r>
      <w:r>
        <w:rPr>
          <w:rFonts w:hint="eastAsia"/>
        </w:rPr>
        <w:t>、</w:t>
      </w:r>
      <w:r>
        <w:t>医疗废水处理处置率达到</w:t>
      </w:r>
      <w:r>
        <w:rPr>
          <w:rFonts w:hint="eastAsia"/>
        </w:rPr>
        <w:t>100%。</w:t>
      </w:r>
      <w:r>
        <w:t>（</w:t>
      </w:r>
      <w:r>
        <w:rPr>
          <w:rFonts w:hint="eastAsia"/>
        </w:rPr>
        <w:t>县生态环境局、县卫健局、县住建局、</w:t>
      </w:r>
      <w:r>
        <w:rPr>
          <w:rFonts w:hint="eastAsia"/>
          <w:highlight w:val="none"/>
          <w:lang w:eastAsia="zh-CN"/>
        </w:rPr>
        <w:t>县城市管理综合行政执法大队</w:t>
      </w:r>
      <w:r>
        <w:rPr>
          <w:highlight w:val="none"/>
        </w:rPr>
        <w:t>按职责分工负责</w:t>
      </w:r>
      <w:r>
        <w:t>）</w:t>
      </w:r>
    </w:p>
    <w:p>
      <w:pPr>
        <w:pStyle w:val="3"/>
        <w:ind w:firstLine="643"/>
      </w:pPr>
      <w:bookmarkStart w:id="43" w:name="_Toc129926109"/>
      <w:r>
        <w:rPr>
          <w:rFonts w:hint="eastAsia"/>
        </w:rPr>
        <w:t>第三节 推进“无废城市”建设</w:t>
      </w:r>
      <w:bookmarkEnd w:id="43"/>
    </w:p>
    <w:p>
      <w:pPr>
        <w:ind w:firstLine="643"/>
        <w:rPr>
          <w:b/>
        </w:rPr>
      </w:pPr>
      <w:r>
        <w:rPr>
          <w:rFonts w:hint="eastAsia"/>
          <w:b/>
        </w:rPr>
        <w:t>强化对工业固体废物全过程监管。</w:t>
      </w:r>
      <w:r>
        <w:rPr>
          <w:rFonts w:hint="eastAsia"/>
        </w:rPr>
        <w:t>持续开展固体废物集中申报登记，推动工业固体废物依法纳入排污许可证管理。全面摸底调查和整治工业固体废物储存场所，对固体废物历史遗留量大的企业进行重点监管。鼓励企业对工业固体废物进行资源化利用，支持工业固体废物循环利用项目建设。（县发改局、县工信局、县生态环境局按职责分工负责）</w:t>
      </w:r>
    </w:p>
    <w:p>
      <w:pPr>
        <w:ind w:firstLine="643"/>
      </w:pPr>
      <w:r>
        <w:rPr>
          <w:rFonts w:hint="eastAsia"/>
          <w:b/>
        </w:rPr>
        <w:t>推动农业废弃物回收利用。</w:t>
      </w:r>
      <w:r>
        <w:rPr>
          <w:rFonts w:hint="eastAsia"/>
        </w:rPr>
        <w:t>规模养殖场要配套建设废水收集和处理设施，采用生产有机肥等方式对粪污进行资源化利用。到2025年，实现规模养殖场粪污处理设施全覆盖，畜禽粪污综合利用率保持95%以上。加强秸秆禁烧巡查和监管力度，推动秸秆“五化”利用。到2025年，秸秆综合利用率达到90%以上。完善废旧农膜回收体系，扩大农膜回收能力。到2025年，农膜回收率达到85%以上。（县农业农村局、县发改局按职责分工负责）</w:t>
      </w:r>
    </w:p>
    <w:p>
      <w:pPr>
        <w:ind w:firstLine="643"/>
      </w:pPr>
      <w:r>
        <w:rPr>
          <w:rFonts w:hint="eastAsia"/>
          <w:b/>
        </w:rPr>
        <w:t>实施生活垃圾分类减量化行动。</w:t>
      </w:r>
      <w:r>
        <w:rPr>
          <w:rFonts w:hint="eastAsia"/>
        </w:rPr>
        <w:t>制定城镇生活垃圾分类减量化行动工作方案，结合实际制定生活垃圾分类标准，采取试点推进等方式逐步建立城镇生活垃圾分类体系。（县</w:t>
      </w:r>
      <w:r>
        <w:rPr>
          <w:rFonts w:hint="eastAsia"/>
          <w:lang w:eastAsia="zh-CN"/>
        </w:rPr>
        <w:t>城市管理综合行政执法大队</w:t>
      </w:r>
      <w:r>
        <w:rPr>
          <w:rFonts w:hint="eastAsia"/>
        </w:rPr>
        <w:t>负责）</w:t>
      </w:r>
    </w:p>
    <w:p>
      <w:pPr>
        <w:ind w:firstLine="643"/>
      </w:pPr>
      <w:r>
        <w:rPr>
          <w:rFonts w:hint="eastAsia"/>
          <w:b/>
        </w:rPr>
        <w:t>控制白色污染。</w:t>
      </w:r>
      <w:r>
        <w:rPr>
          <w:rFonts w:hint="eastAsia"/>
        </w:rPr>
        <w:t>常态化开展河湖水域、岸线、滩地等重点区域塑料垃圾清理。开展塑料污染治理联合专项行动，依法查处生产、销售超薄塑料产品、聚乙烯农膜和纳入淘汰类产品目录等不符合要求产品的违法行为。（县住建局、县市场监督管理局按职责分工负责）</w:t>
      </w:r>
    </w:p>
    <w:p>
      <w:pPr>
        <w:pStyle w:val="3"/>
        <w:ind w:firstLine="643"/>
      </w:pPr>
      <w:bookmarkStart w:id="44" w:name="_Toc129926110"/>
      <w:r>
        <w:rPr>
          <w:rFonts w:hint="eastAsia"/>
        </w:rPr>
        <w:t>第四节 加强环境风险防控</w:t>
      </w:r>
      <w:bookmarkEnd w:id="44"/>
    </w:p>
    <w:p>
      <w:pPr>
        <w:ind w:firstLine="643"/>
      </w:pPr>
      <w:r>
        <w:rPr>
          <w:rFonts w:hint="eastAsia"/>
          <w:b/>
        </w:rPr>
        <w:t>完善环境风险预警和应急措施。</w:t>
      </w:r>
      <w:r>
        <w:rPr>
          <w:rFonts w:hint="eastAsia"/>
        </w:rPr>
        <w:t>完善突发环境事件应急管理预案体系，健全生态环境风险动态评价和管理机制。针对重点区域、流域和涉危化品企业定期开展排查评估。强化企事业单位环境风险防范主体责任，落实风险防范措施，不断提高风险防控水平。定期对县级政府突发环境事件应急预案进行修编，督促相关企业定期开展应急演练以及应急预案修订。（县生态环境局、县工信局、县应急管理局按职责分工负责）</w:t>
      </w:r>
    </w:p>
    <w:p>
      <w:pPr>
        <w:ind w:firstLine="643"/>
        <w:rPr>
          <w:highlight w:val="none"/>
        </w:rPr>
      </w:pPr>
      <w:r>
        <w:rPr>
          <w:rFonts w:hint="eastAsia"/>
          <w:b/>
        </w:rPr>
        <w:t>完善生态环境安全保障体系。</w:t>
      </w:r>
      <w:r>
        <w:rPr>
          <w:rFonts w:hint="eastAsia"/>
        </w:rPr>
        <w:t>建立健全环境风险防控与突发事件处置的协调联动机制，强化环境应急与安全生产事故、公共卫生、社会安全等其他应急救援体系的衔接。排查县域内较大以上环境风险源企业并加强监督管理。强化突发环境事件综合应急队伍和专业应急队伍建设，加快应急管理制度建设。（县应急管理局、县生态环境局</w:t>
      </w:r>
      <w:r>
        <w:rPr>
          <w:rFonts w:hint="eastAsia"/>
          <w:lang w:eastAsia="zh-CN"/>
        </w:rPr>
        <w:t>、</w:t>
      </w:r>
      <w:r>
        <w:rPr>
          <w:rFonts w:hint="eastAsia"/>
          <w:highlight w:val="none"/>
          <w:lang w:eastAsia="zh-CN"/>
        </w:rPr>
        <w:t>县市场监督管理局、县工信局</w:t>
      </w:r>
      <w:r>
        <w:rPr>
          <w:rFonts w:hint="eastAsia"/>
          <w:highlight w:val="none"/>
        </w:rPr>
        <w:t>按职责分工负责）</w:t>
      </w:r>
    </w:p>
    <w:p>
      <w:pPr>
        <w:pStyle w:val="2"/>
        <w:pageBreakBefore/>
        <w:ind w:firstLine="0" w:firstLineChars="0"/>
      </w:pPr>
      <w:bookmarkStart w:id="45" w:name="_Toc129926111"/>
      <w:r>
        <w:rPr>
          <w:rFonts w:hint="eastAsia"/>
        </w:rPr>
        <w:t>第九章 创新制度保障 构建系统治理体系</w:t>
      </w:r>
      <w:bookmarkEnd w:id="45"/>
    </w:p>
    <w:p>
      <w:pPr>
        <w:ind w:firstLine="640"/>
        <w:rPr>
          <w:bCs/>
        </w:rPr>
      </w:pPr>
      <w:r>
        <w:rPr>
          <w:rFonts w:hint="eastAsia"/>
          <w:bCs/>
        </w:rPr>
        <w:t>深入推进生态文明体制改革</w:t>
      </w:r>
      <w:r>
        <w:rPr>
          <w:bCs/>
        </w:rPr>
        <w:t>，</w:t>
      </w:r>
      <w:r>
        <w:rPr>
          <w:rFonts w:hint="eastAsia"/>
          <w:bCs/>
        </w:rPr>
        <w:t>构建以“三线一单”为环境空间管控基础，以规划环境影响评价和建设项目环境影响评价为环境准入关口，以排污许可为企业运行守法依据，以执法、监测、督察为监管手段的全过程环境管理体制机制，深入落实责任、法规政策、监管、市场、信用等现代环境治理体系的要求，</w:t>
      </w:r>
      <w:r>
        <w:rPr>
          <w:bCs/>
        </w:rPr>
        <w:t>提升</w:t>
      </w:r>
      <w:r>
        <w:rPr>
          <w:rFonts w:hint="eastAsia"/>
          <w:bCs/>
        </w:rPr>
        <w:t>生态环境治理能力现代化水平。</w:t>
      </w:r>
    </w:p>
    <w:p>
      <w:pPr>
        <w:pStyle w:val="3"/>
        <w:ind w:firstLine="643"/>
      </w:pPr>
      <w:bookmarkStart w:id="46" w:name="_Toc129926112"/>
      <w:r>
        <w:rPr>
          <w:rFonts w:hint="eastAsia"/>
        </w:rPr>
        <w:t>第一节 健全生态环境责任体系</w:t>
      </w:r>
      <w:bookmarkEnd w:id="46"/>
    </w:p>
    <w:p>
      <w:pPr>
        <w:ind w:firstLine="643"/>
        <w:rPr>
          <w:bCs/>
        </w:rPr>
      </w:pPr>
      <w:r>
        <w:rPr>
          <w:rFonts w:hint="eastAsia"/>
          <w:b/>
          <w:bCs/>
        </w:rPr>
        <w:t>完善绿色政绩考核制度</w:t>
      </w:r>
      <w:r>
        <w:rPr>
          <w:b/>
          <w:bCs/>
        </w:rPr>
        <w:t>。</w:t>
      </w:r>
      <w:r>
        <w:rPr>
          <w:bCs/>
        </w:rPr>
        <w:t>严格落实</w:t>
      </w:r>
      <w:r>
        <w:rPr>
          <w:rFonts w:hint="eastAsia"/>
          <w:bCs/>
        </w:rPr>
        <w:t>“</w:t>
      </w:r>
      <w:r>
        <w:rPr>
          <w:bCs/>
        </w:rPr>
        <w:t>党政同责、一岗双责</w:t>
      </w:r>
      <w:r>
        <w:rPr>
          <w:rFonts w:hint="eastAsia"/>
          <w:bCs/>
        </w:rPr>
        <w:t>”</w:t>
      </w:r>
      <w:r>
        <w:rPr>
          <w:bCs/>
        </w:rPr>
        <w:t>，落实领导干部任期生态文明建设责任制，加强领导干部自然资源资产离任审计。（县人社局</w:t>
      </w:r>
      <w:r>
        <w:rPr>
          <w:rFonts w:hint="eastAsia"/>
          <w:bCs/>
        </w:rPr>
        <w:t>、县审计局按职责分工负责</w:t>
      </w:r>
      <w:r>
        <w:rPr>
          <w:bCs/>
        </w:rPr>
        <w:t>）</w:t>
      </w:r>
    </w:p>
    <w:p>
      <w:pPr>
        <w:ind w:firstLine="643"/>
        <w:rPr>
          <w:bCs/>
        </w:rPr>
      </w:pPr>
      <w:r>
        <w:rPr>
          <w:b/>
          <w:bCs/>
        </w:rPr>
        <w:t>强化部门协作联动机制。</w:t>
      </w:r>
      <w:r>
        <w:rPr>
          <w:rFonts w:hint="eastAsia"/>
          <w:bCs/>
        </w:rPr>
        <w:t>制定实施生态环境保护责任清单，健全生态环境部门与相关部门联系会商、联动执法、联合响应机制。实行生态环境保护综合行政执法机关、公安机关、检察机关、审判机关信息共享、案情通报、案件移送制度。落实生态环境损害赔偿制度，做到应赔尽赔。推动行政处罚、刑事司法与生态环境损害赔偿工作有效衔接。</w:t>
      </w:r>
      <w:r>
        <w:rPr>
          <w:bCs/>
        </w:rPr>
        <w:t>（</w:t>
      </w:r>
      <w:r>
        <w:rPr>
          <w:rFonts w:hint="eastAsia"/>
          <w:bCs/>
        </w:rPr>
        <w:t>县</w:t>
      </w:r>
      <w:r>
        <w:rPr>
          <w:bCs/>
        </w:rPr>
        <w:t>生态环境</w:t>
      </w:r>
      <w:r>
        <w:rPr>
          <w:rFonts w:hint="eastAsia"/>
          <w:bCs/>
        </w:rPr>
        <w:t>局</w:t>
      </w:r>
      <w:r>
        <w:rPr>
          <w:bCs/>
        </w:rPr>
        <w:t>牵头，相关部门按职责分工负责）</w:t>
      </w:r>
    </w:p>
    <w:p>
      <w:pPr>
        <w:ind w:firstLine="643"/>
        <w:rPr>
          <w:bCs/>
        </w:rPr>
      </w:pPr>
      <w:r>
        <w:rPr>
          <w:rFonts w:hint="eastAsia"/>
          <w:b/>
          <w:bCs/>
        </w:rPr>
        <w:t>强化企业环境治理责任。</w:t>
      </w:r>
      <w:r>
        <w:rPr>
          <w:rFonts w:hint="eastAsia"/>
          <w:bCs/>
        </w:rPr>
        <w:t>完善排污许可证制度，落实生产者责任延伸制度，建立企业全过程环境管理规范，推进生产服务绿色化。加强企业环境治理责任制度建设，严格落实污染治理、损害赔偿和生态修复责任。督促企业严格执行法律法规，加大先进污染治理技术的应用，加强污染治理设施的运行维护和安全监管。推进政务诚信和企业信用建设，健全环境治理信用体系。（县生态环境局负责）</w:t>
      </w:r>
    </w:p>
    <w:p>
      <w:pPr>
        <w:pStyle w:val="3"/>
        <w:ind w:firstLine="643"/>
      </w:pPr>
      <w:bookmarkStart w:id="47" w:name="_Toc129926113"/>
      <w:r>
        <w:rPr>
          <w:rFonts w:hint="eastAsia"/>
        </w:rPr>
        <w:t>第二节 健全环境治理监管体制机制</w:t>
      </w:r>
      <w:bookmarkEnd w:id="47"/>
    </w:p>
    <w:p>
      <w:pPr>
        <w:ind w:firstLine="643"/>
      </w:pPr>
      <w:r>
        <w:rPr>
          <w:rFonts w:hint="eastAsia"/>
          <w:b/>
        </w:rPr>
        <w:t>完善生态环境监管体制。</w:t>
      </w:r>
      <w:r>
        <w:rPr>
          <w:rFonts w:hint="eastAsia"/>
        </w:rPr>
        <w:t>增强生态环境监管执法的独立性、权威性和有效性，建立“职责独立、机构独立、程序独立”的生态环境监管机构，构建生态环境领域非强制、服务指导性的监管执法辅助机制。推进“双随机一公开”日常监管执法，同时持续推进“互联网+监管”等非现场执法，完善生态环境监管体制和能力建设。（县生态环境局负责）</w:t>
      </w:r>
    </w:p>
    <w:p>
      <w:pPr>
        <w:ind w:firstLine="643"/>
      </w:pPr>
      <w:r>
        <w:rPr>
          <w:rFonts w:hint="eastAsia"/>
          <w:b/>
        </w:rPr>
        <w:t>加强执法能力建设。</w:t>
      </w:r>
      <w:r>
        <w:rPr>
          <w:rFonts w:hint="eastAsia"/>
        </w:rPr>
        <w:t>统一生态环境监测执法队伍执法用车和装备，推进移动执法和非现场监督执法</w:t>
      </w:r>
      <w:r>
        <w:t>。持续加强生态环境保护铁军建设，</w:t>
      </w:r>
      <w:r>
        <w:rPr>
          <w:rFonts w:hint="eastAsia"/>
        </w:rPr>
        <w:t>积极响应</w:t>
      </w:r>
      <w:r>
        <w:t>创新执法</w:t>
      </w:r>
      <w:r>
        <w:rPr>
          <w:rFonts w:hint="eastAsia"/>
        </w:rPr>
        <w:t>“</w:t>
      </w:r>
      <w:r>
        <w:t>大练兵</w:t>
      </w:r>
      <w:r>
        <w:rPr>
          <w:rFonts w:hint="eastAsia"/>
        </w:rPr>
        <w:t>”</w:t>
      </w:r>
      <w:r>
        <w:t>，加强基层执法队伍能力建设，锤炼过硬作风，</w:t>
      </w:r>
      <w:r>
        <w:rPr>
          <w:rFonts w:hint="eastAsia"/>
        </w:rPr>
        <w:t>提升生态环保</w:t>
      </w:r>
      <w:r>
        <w:t>监督管理</w:t>
      </w:r>
      <w:r>
        <w:rPr>
          <w:rFonts w:hint="eastAsia"/>
        </w:rPr>
        <w:t>水平</w:t>
      </w:r>
      <w:r>
        <w:t>。</w:t>
      </w:r>
      <w:r>
        <w:rPr>
          <w:rFonts w:hint="eastAsia"/>
        </w:rPr>
        <w:t>（县生态环境局负责）</w:t>
      </w:r>
    </w:p>
    <w:p>
      <w:pPr>
        <w:ind w:firstLine="643"/>
      </w:pPr>
      <w:r>
        <w:rPr>
          <w:rFonts w:hint="eastAsia"/>
          <w:b/>
        </w:rPr>
        <w:t>完善现代化监测网络。</w:t>
      </w:r>
      <w:r>
        <w:rPr>
          <w:rFonts w:hint="eastAsia"/>
        </w:rPr>
        <w:t>加强生态环境监测标准化建设，加快配齐与职能任务相匹配的人才队伍、仪器装备，完善水、大气、噪声等自动监测系统建设。推进重点污染源自动监控系统升级改造，探索污染源自动监控设施运维的新模式，切实加强运维的监管，充分发挥设施效用。（县生态环境局负责）</w:t>
      </w:r>
    </w:p>
    <w:p>
      <w:pPr>
        <w:pStyle w:val="3"/>
        <w:ind w:firstLine="643"/>
      </w:pPr>
      <w:bookmarkStart w:id="48" w:name="_Toc129926114"/>
      <w:r>
        <w:rPr>
          <w:rFonts w:hint="eastAsia"/>
        </w:rPr>
        <w:t>第三节 发挥市场机制激励作用</w:t>
      </w:r>
      <w:bookmarkEnd w:id="48"/>
    </w:p>
    <w:p>
      <w:pPr>
        <w:ind w:firstLine="643"/>
        <w:rPr>
          <w:highlight w:val="none"/>
        </w:rPr>
      </w:pPr>
      <w:r>
        <w:rPr>
          <w:rFonts w:hint="eastAsia"/>
          <w:b/>
        </w:rPr>
        <w:t>进一步</w:t>
      </w:r>
      <w:r>
        <w:rPr>
          <w:b/>
        </w:rPr>
        <w:t>开放环境治理市场。</w:t>
      </w:r>
      <w:r>
        <w:rPr>
          <w:rFonts w:hint="eastAsia"/>
        </w:rPr>
        <w:t>落实“放管服”改革，进一步优化营商环境，形成公开透明、规范有序的环境治理市场环境，助推经济高质量发展。常态化实行环评审批“正面清单”，对重大项目开辟绿色通道，精准</w:t>
      </w:r>
      <w:r>
        <w:rPr>
          <w:rFonts w:hint="eastAsia"/>
          <w:highlight w:val="none"/>
        </w:rPr>
        <w:t>服务重大项目建设。（县生态环境局负责）</w:t>
      </w:r>
    </w:p>
    <w:p>
      <w:pPr>
        <w:ind w:firstLine="643"/>
      </w:pPr>
      <w:r>
        <w:rPr>
          <w:rFonts w:hint="eastAsia"/>
          <w:b/>
          <w:highlight w:val="none"/>
        </w:rPr>
        <w:t>探索生态环境导向的开发模式试点</w:t>
      </w:r>
      <w:r>
        <w:rPr>
          <w:b/>
          <w:highlight w:val="none"/>
        </w:rPr>
        <w:t>。</w:t>
      </w:r>
      <w:r>
        <w:rPr>
          <w:rFonts w:hint="eastAsia"/>
          <w:highlight w:val="none"/>
        </w:rPr>
        <w:t>探索</w:t>
      </w:r>
      <w:r>
        <w:rPr>
          <w:rFonts w:hint="eastAsia"/>
        </w:rPr>
        <w:t>“政府扶持、社会参与、开发式治理、市场化运作、多渠道筹资”生态环境导向的开发模式、全域生态环境恢复和综合治理模式，整合与生态环境有关的产业发展项目，构建与生态环境一体化实施相关的产业项目，形成系统完整的产业发展链条。（县发改局、县生态环境局按职责分工负责）</w:t>
      </w:r>
    </w:p>
    <w:p>
      <w:pPr>
        <w:pStyle w:val="3"/>
        <w:ind w:firstLine="643"/>
      </w:pPr>
      <w:bookmarkStart w:id="49" w:name="_Toc129926115"/>
      <w:r>
        <w:rPr>
          <w:rFonts w:hint="eastAsia"/>
        </w:rPr>
        <w:t>第四节 提升生态环保社会共治能力</w:t>
      </w:r>
      <w:bookmarkEnd w:id="49"/>
    </w:p>
    <w:p>
      <w:pPr>
        <w:ind w:firstLine="643"/>
      </w:pPr>
      <w:r>
        <w:rPr>
          <w:rFonts w:hint="eastAsia"/>
          <w:b/>
        </w:rPr>
        <w:t>完善环境信息公开制度。</w:t>
      </w:r>
      <w:r>
        <w:rPr>
          <w:rFonts w:hint="eastAsia"/>
        </w:rPr>
        <w:t>严格落实《环境信息公开办法（试行）》，完善政府、企业信息公开工作机制。多渠道发布环境保护信息，强制环境执法监管、环境状况、环境事件、污染源等信息公开，加强社会监督。重点对水环境质量、大气环境质量、重点污染源监测等环境质量进行信息公开。（县生态环境局负责）</w:t>
      </w:r>
    </w:p>
    <w:p>
      <w:pPr>
        <w:ind w:firstLine="643"/>
      </w:pPr>
      <w:r>
        <w:rPr>
          <w:rFonts w:hint="eastAsia"/>
          <w:b/>
        </w:rPr>
        <w:t>拓宽公众参与渠道。</w:t>
      </w:r>
      <w:r>
        <w:rPr>
          <w:rFonts w:hint="eastAsia"/>
        </w:rPr>
        <w:t>积极利用新媒体搭建公众参与新平台，加强市民服务热线、民意网站、领导信箱、政务公开日等平台建设。涉及重大公共利益和公众权益的重要决策，除依法应当保密的外，通过征求意见、听证座谈、咨询协商、列席会议、媒体吹风等方式扩大公众参与。（县生态环境局负责）</w:t>
      </w:r>
    </w:p>
    <w:p>
      <w:pPr>
        <w:ind w:firstLine="643"/>
      </w:pPr>
      <w:r>
        <w:rPr>
          <w:rFonts w:hint="eastAsia"/>
          <w:b/>
        </w:rPr>
        <w:t>强化社会监督。</w:t>
      </w:r>
      <w:r>
        <w:rPr>
          <w:rFonts w:hint="eastAsia"/>
        </w:rPr>
        <w:t>完善公众监督和举报反馈机制，充分发挥“12369”环保举报热线作用，畅通环保监督渠道。加强舆论监督，引导具备资格的环保组织依法开展生态环境公益诉讼等活动。（县生态环境局负责）</w:t>
      </w:r>
    </w:p>
    <w:p>
      <w:pPr>
        <w:pStyle w:val="2"/>
        <w:pageBreakBefore/>
        <w:ind w:firstLine="0" w:firstLineChars="0"/>
        <w:sectPr>
          <w:pgSz w:w="11906" w:h="16838"/>
          <w:pgMar w:top="1440" w:right="1800" w:bottom="1440" w:left="1800" w:header="851" w:footer="992" w:gutter="0"/>
          <w:cols w:space="425" w:num="1"/>
          <w:docGrid w:type="lines" w:linePitch="312" w:charSpace="0"/>
        </w:sectPr>
      </w:pPr>
    </w:p>
    <w:p>
      <w:pPr>
        <w:pStyle w:val="2"/>
        <w:pageBreakBefore/>
        <w:ind w:firstLine="0" w:firstLineChars="0"/>
      </w:pPr>
      <w:bookmarkStart w:id="50" w:name="_Toc129926116"/>
      <w:r>
        <w:rPr>
          <w:rFonts w:hint="eastAsia"/>
        </w:rPr>
        <w:t>第十章 保障措施</w:t>
      </w:r>
      <w:bookmarkEnd w:id="50"/>
    </w:p>
    <w:p>
      <w:pPr>
        <w:ind w:firstLine="640"/>
      </w:pPr>
      <w:r>
        <w:rPr>
          <w:rFonts w:hint="eastAsia"/>
        </w:rPr>
        <w:t>坚持党的全面领导，强化规划引领，健全组织、资金、宣传等保障机制，精准施策，狠抓落实，形成社会参与推动规划实施的强大合力，完成规划确定的各项目标任务，开创全</w:t>
      </w:r>
      <w:r>
        <w:rPr>
          <w:rFonts w:hint="eastAsia"/>
          <w:lang w:eastAsia="zh-CN"/>
        </w:rPr>
        <w:t>县</w:t>
      </w:r>
      <w:r>
        <w:rPr>
          <w:rFonts w:hint="eastAsia"/>
        </w:rPr>
        <w:t>“十四五”生态环境保护新局面。</w:t>
      </w:r>
    </w:p>
    <w:p>
      <w:pPr>
        <w:pStyle w:val="3"/>
        <w:ind w:firstLine="643"/>
      </w:pPr>
      <w:bookmarkStart w:id="51" w:name="_Toc129926117"/>
      <w:r>
        <w:rPr>
          <w:rFonts w:hint="eastAsia"/>
        </w:rPr>
        <w:t>第一节 加强组织领导，强化责任落实</w:t>
      </w:r>
      <w:bookmarkEnd w:id="51"/>
    </w:p>
    <w:p>
      <w:pPr>
        <w:ind w:firstLine="640"/>
      </w:pPr>
      <w:r>
        <w:rPr>
          <w:rFonts w:hint="eastAsia"/>
        </w:rPr>
        <w:t>加强组织领导，各职能部门要按照本规划确定的任务和要求，组织制订具体的实施方案，严格履行环保职责，各司其职，密切配合，进一步巩固完善生态环境保护共治格局。将“十四五”生态环境保护工作任务分解列入各部门和乡镇及其主要领导人员的任期责任制，实行年度考核。建立完善分级管理、相互协调、上下联动的工作机制，推动各项生态环境保护工作落到实处。制度化、机制化、长效化地推动生态环境保护“党政同责、一岗双责”，构建“地方党政负责、环保机构监管、相关部门联动”的工作格局，确保生态环境保护工作在经济社会发展各方面予以推动落实。</w:t>
      </w:r>
    </w:p>
    <w:p>
      <w:pPr>
        <w:pStyle w:val="3"/>
        <w:ind w:firstLine="643"/>
      </w:pPr>
      <w:bookmarkStart w:id="52" w:name="_Toc129926118"/>
      <w:r>
        <w:rPr>
          <w:rFonts w:hint="eastAsia"/>
        </w:rPr>
        <w:t>第二节 统筹资金安排，保障资金投入</w:t>
      </w:r>
      <w:bookmarkEnd w:id="52"/>
    </w:p>
    <w:p>
      <w:pPr>
        <w:ind w:firstLine="640"/>
      </w:pPr>
      <w:r>
        <w:rPr>
          <w:rFonts w:hint="eastAsia"/>
        </w:rPr>
        <w:t>完善生态环境资金投入机制</w:t>
      </w:r>
      <w:r>
        <w:t>，把生态环境保护建设资金纳入年度财政预算</w:t>
      </w:r>
      <w:r>
        <w:rPr>
          <w:rFonts w:hint="eastAsia"/>
        </w:rPr>
        <w:t>。加强财政预算与规划实施的有效衔接，充分发挥财政资金的引导和撬动作用，积极引导社会资本投入。积极争取国家、省级生态环境专项资金，重点投向环境污染综合治理以及环境风险管控、生态修复、环保基础设施及能力建设领域，强化项目绩效管理，确保规划重点工程顺利推进。</w:t>
      </w:r>
    </w:p>
    <w:p>
      <w:pPr>
        <w:pStyle w:val="3"/>
        <w:ind w:firstLine="643"/>
      </w:pPr>
      <w:bookmarkStart w:id="53" w:name="_Toc129926119"/>
      <w:r>
        <w:rPr>
          <w:rFonts w:hint="eastAsia"/>
        </w:rPr>
        <w:t>第三节 科学精准治污，加强技术保障</w:t>
      </w:r>
      <w:bookmarkEnd w:id="53"/>
    </w:p>
    <w:p>
      <w:pPr>
        <w:ind w:firstLine="640"/>
      </w:pPr>
      <w:r>
        <w:rPr>
          <w:rFonts w:hint="eastAsia"/>
        </w:rPr>
        <w:t>引进并推广各类新技术、新工艺、新产品，对科技含量较高的生态产业项目和有利于改善生态环境的适用技术，予以享受高新技术产业和先进技术的有关优惠政策。强化政府部门工作人员培训，提高公务人员专业知识和技能，建设结构合理、数量充足的人才梯队。推进重点工程建设，加速推进反映城市发展新路径和产业转型升级新方向的标志性工程。发挥重大工程项目的示范作用，以点带面，推动城市高水平建设，实现城市功能与质量的显著提升。</w:t>
      </w:r>
    </w:p>
    <w:p>
      <w:pPr>
        <w:pStyle w:val="3"/>
        <w:ind w:firstLine="643"/>
      </w:pPr>
      <w:bookmarkStart w:id="54" w:name="_Toc129926120"/>
      <w:r>
        <w:rPr>
          <w:rFonts w:hint="eastAsia"/>
        </w:rPr>
        <w:t>第四节 实施考核评估，建立激励机制</w:t>
      </w:r>
      <w:bookmarkEnd w:id="54"/>
    </w:p>
    <w:p>
      <w:pPr>
        <w:ind w:firstLine="640"/>
      </w:pPr>
      <w:r>
        <w:rPr>
          <w:rFonts w:hint="eastAsia"/>
        </w:rPr>
        <w:t>建立规划完成情况责任制度，把任务纳入各级领导干部及部门考核体系，逐级分解目标任务。加强规划实施评估及跟踪，对主要目标、重点任务和政策措施的实施情况定期开展评估。每年年末对规划中指标完成情况、重大工程及任务进行年度评估，并对规划实施情况实行全过程跟踪督查，及时分析工作推进情况和存在问题。对突出问题和共性问题开展专项督查，对完成情况严重滞后的单位及时督办、限期整改。</w:t>
      </w:r>
    </w:p>
    <w:p>
      <w:pPr>
        <w:pStyle w:val="3"/>
        <w:ind w:firstLine="643"/>
      </w:pPr>
      <w:bookmarkStart w:id="55" w:name="_Toc129926121"/>
      <w:r>
        <w:rPr>
          <w:rFonts w:hint="eastAsia"/>
        </w:rPr>
        <w:t>第五节 广泛宣传引导 动员社会监督</w:t>
      </w:r>
      <w:bookmarkEnd w:id="55"/>
    </w:p>
    <w:p>
      <w:pPr>
        <w:ind w:firstLine="640"/>
      </w:pPr>
      <w:r>
        <w:rPr>
          <w:rFonts w:hint="eastAsia"/>
        </w:rPr>
        <w:t>定期公布区域生态环境质量状况、生态环境保护重点工作开展情况等相关信息。</w:t>
      </w:r>
      <w:r>
        <w:t>充分利用微博、微信等新媒体，加大宣传教育推广力度，提高全社会生态文明意识。组织开展形式多样的生态环境保护体验和实践活动，引导动员全社会各界积极践行勤俭节约、绿色低碳、文明健康的生活方式和消费模式</w:t>
      </w:r>
      <w:r>
        <w:rPr>
          <w:rFonts w:hint="eastAsia"/>
        </w:rPr>
        <w:t>。</w:t>
      </w:r>
      <w:r>
        <w:t>拓宽公众参与渠道，建立激励机制，引导公众在水环境保护建言献策、污染源排放监督等方面积极参与。畅通并发挥</w:t>
      </w:r>
      <w:r>
        <w:rPr>
          <w:rFonts w:hint="eastAsia"/>
        </w:rPr>
        <w:t>电话热线</w:t>
      </w:r>
      <w:r>
        <w:t>及网络平台等举报投诉渠道的作用，积极回应群众关切，做到民意畅通、回应有力。加大对环保社会组织的引导、支持和培育力度。</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004860"/>
    </w:sdtPr>
    <w:sdtContent>
      <w:p>
        <w:pPr>
          <w:pStyle w:val="9"/>
          <w:adjustRightInd w:val="0"/>
          <w:snapToGrid/>
          <w:spacing w:line="240" w:lineRule="auto"/>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0NWM2MGJhNmYxZjA4NTYxMGRhNTRmMDlhYTBiN2UifQ=="/>
  </w:docVars>
  <w:rsids>
    <w:rsidRoot w:val="00A5036A"/>
    <w:rsid w:val="0000686E"/>
    <w:rsid w:val="00007349"/>
    <w:rsid w:val="000135C5"/>
    <w:rsid w:val="00013661"/>
    <w:rsid w:val="00024086"/>
    <w:rsid w:val="00031CC3"/>
    <w:rsid w:val="00033859"/>
    <w:rsid w:val="0003564E"/>
    <w:rsid w:val="000420B1"/>
    <w:rsid w:val="000536F4"/>
    <w:rsid w:val="00061AD3"/>
    <w:rsid w:val="00066322"/>
    <w:rsid w:val="00067D16"/>
    <w:rsid w:val="00074B03"/>
    <w:rsid w:val="0007616E"/>
    <w:rsid w:val="000807F2"/>
    <w:rsid w:val="00080A81"/>
    <w:rsid w:val="00082127"/>
    <w:rsid w:val="000824C4"/>
    <w:rsid w:val="000831F6"/>
    <w:rsid w:val="0008527B"/>
    <w:rsid w:val="00087377"/>
    <w:rsid w:val="00093809"/>
    <w:rsid w:val="000A11B9"/>
    <w:rsid w:val="000A1AC0"/>
    <w:rsid w:val="000A2AB1"/>
    <w:rsid w:val="000A6910"/>
    <w:rsid w:val="000B21D5"/>
    <w:rsid w:val="000B23DF"/>
    <w:rsid w:val="000B361C"/>
    <w:rsid w:val="000B3D8F"/>
    <w:rsid w:val="000B6E28"/>
    <w:rsid w:val="000C0493"/>
    <w:rsid w:val="000C0DAD"/>
    <w:rsid w:val="000C750D"/>
    <w:rsid w:val="000E0346"/>
    <w:rsid w:val="000E364C"/>
    <w:rsid w:val="000E3FA3"/>
    <w:rsid w:val="000F3285"/>
    <w:rsid w:val="000F592F"/>
    <w:rsid w:val="000F5E08"/>
    <w:rsid w:val="00100B80"/>
    <w:rsid w:val="00102133"/>
    <w:rsid w:val="00104951"/>
    <w:rsid w:val="00106AE9"/>
    <w:rsid w:val="00113507"/>
    <w:rsid w:val="00113F48"/>
    <w:rsid w:val="00114890"/>
    <w:rsid w:val="001228C3"/>
    <w:rsid w:val="001303D8"/>
    <w:rsid w:val="00130D48"/>
    <w:rsid w:val="0014074B"/>
    <w:rsid w:val="00141A46"/>
    <w:rsid w:val="00143C32"/>
    <w:rsid w:val="00146415"/>
    <w:rsid w:val="001518D3"/>
    <w:rsid w:val="00155EDC"/>
    <w:rsid w:val="00157D4F"/>
    <w:rsid w:val="00164111"/>
    <w:rsid w:val="00171CD7"/>
    <w:rsid w:val="00173220"/>
    <w:rsid w:val="001733FE"/>
    <w:rsid w:val="00173A57"/>
    <w:rsid w:val="001760C3"/>
    <w:rsid w:val="00176E0E"/>
    <w:rsid w:val="00176EA1"/>
    <w:rsid w:val="00177168"/>
    <w:rsid w:val="00177CE3"/>
    <w:rsid w:val="0018510E"/>
    <w:rsid w:val="001905CC"/>
    <w:rsid w:val="001910BD"/>
    <w:rsid w:val="001937ED"/>
    <w:rsid w:val="00193C25"/>
    <w:rsid w:val="001A242C"/>
    <w:rsid w:val="001A6788"/>
    <w:rsid w:val="001B0B4F"/>
    <w:rsid w:val="001B1C07"/>
    <w:rsid w:val="001B51CA"/>
    <w:rsid w:val="001B653F"/>
    <w:rsid w:val="001B6E64"/>
    <w:rsid w:val="001C2663"/>
    <w:rsid w:val="001D28F5"/>
    <w:rsid w:val="001E0085"/>
    <w:rsid w:val="001E12BD"/>
    <w:rsid w:val="001E7337"/>
    <w:rsid w:val="001F1243"/>
    <w:rsid w:val="001F139E"/>
    <w:rsid w:val="00200490"/>
    <w:rsid w:val="00200606"/>
    <w:rsid w:val="00201BEA"/>
    <w:rsid w:val="00207AA5"/>
    <w:rsid w:val="00213544"/>
    <w:rsid w:val="00217F43"/>
    <w:rsid w:val="00221F98"/>
    <w:rsid w:val="002234B3"/>
    <w:rsid w:val="002263AA"/>
    <w:rsid w:val="002278BF"/>
    <w:rsid w:val="00233294"/>
    <w:rsid w:val="00234618"/>
    <w:rsid w:val="00234CD4"/>
    <w:rsid w:val="00235AE8"/>
    <w:rsid w:val="00237CF0"/>
    <w:rsid w:val="00243660"/>
    <w:rsid w:val="002566D8"/>
    <w:rsid w:val="002634BA"/>
    <w:rsid w:val="00263C22"/>
    <w:rsid w:val="002837FE"/>
    <w:rsid w:val="00285362"/>
    <w:rsid w:val="002878FB"/>
    <w:rsid w:val="0029319B"/>
    <w:rsid w:val="00294D2E"/>
    <w:rsid w:val="002A4AE2"/>
    <w:rsid w:val="002A7B61"/>
    <w:rsid w:val="002B0127"/>
    <w:rsid w:val="002B1001"/>
    <w:rsid w:val="002B4B24"/>
    <w:rsid w:val="002C1131"/>
    <w:rsid w:val="002D2244"/>
    <w:rsid w:val="002D3EAA"/>
    <w:rsid w:val="002D5415"/>
    <w:rsid w:val="002D5621"/>
    <w:rsid w:val="002D733C"/>
    <w:rsid w:val="002E6338"/>
    <w:rsid w:val="002F23A3"/>
    <w:rsid w:val="002F2FE1"/>
    <w:rsid w:val="002F3B44"/>
    <w:rsid w:val="002F78C3"/>
    <w:rsid w:val="00300C26"/>
    <w:rsid w:val="00302F7F"/>
    <w:rsid w:val="00303154"/>
    <w:rsid w:val="003051A7"/>
    <w:rsid w:val="0031073D"/>
    <w:rsid w:val="00310A20"/>
    <w:rsid w:val="00320B72"/>
    <w:rsid w:val="00325486"/>
    <w:rsid w:val="00330E72"/>
    <w:rsid w:val="00342766"/>
    <w:rsid w:val="00344254"/>
    <w:rsid w:val="00355948"/>
    <w:rsid w:val="003676C9"/>
    <w:rsid w:val="003724C7"/>
    <w:rsid w:val="00374DD4"/>
    <w:rsid w:val="003862BC"/>
    <w:rsid w:val="00390165"/>
    <w:rsid w:val="00395E75"/>
    <w:rsid w:val="003A541F"/>
    <w:rsid w:val="003B044A"/>
    <w:rsid w:val="003B22EA"/>
    <w:rsid w:val="003B590A"/>
    <w:rsid w:val="003B681C"/>
    <w:rsid w:val="003C2F46"/>
    <w:rsid w:val="003C5FD0"/>
    <w:rsid w:val="003C7B25"/>
    <w:rsid w:val="003D4241"/>
    <w:rsid w:val="003E24AE"/>
    <w:rsid w:val="003E6BFB"/>
    <w:rsid w:val="003E7288"/>
    <w:rsid w:val="003E75B1"/>
    <w:rsid w:val="003F2E7C"/>
    <w:rsid w:val="003F39A1"/>
    <w:rsid w:val="003F4FD8"/>
    <w:rsid w:val="0040009F"/>
    <w:rsid w:val="00402FD5"/>
    <w:rsid w:val="00411E0E"/>
    <w:rsid w:val="004131F6"/>
    <w:rsid w:val="00415A81"/>
    <w:rsid w:val="00415B10"/>
    <w:rsid w:val="00420EE4"/>
    <w:rsid w:val="004223A4"/>
    <w:rsid w:val="00431385"/>
    <w:rsid w:val="004330E1"/>
    <w:rsid w:val="004364DC"/>
    <w:rsid w:val="004371E3"/>
    <w:rsid w:val="0044060A"/>
    <w:rsid w:val="00440634"/>
    <w:rsid w:val="00447E53"/>
    <w:rsid w:val="00456035"/>
    <w:rsid w:val="004568F7"/>
    <w:rsid w:val="00465FFC"/>
    <w:rsid w:val="00476437"/>
    <w:rsid w:val="00477477"/>
    <w:rsid w:val="004778E4"/>
    <w:rsid w:val="00487D7C"/>
    <w:rsid w:val="0049156D"/>
    <w:rsid w:val="004A4CBB"/>
    <w:rsid w:val="004A77C2"/>
    <w:rsid w:val="004B76FF"/>
    <w:rsid w:val="004B7938"/>
    <w:rsid w:val="004C111F"/>
    <w:rsid w:val="004C7C1F"/>
    <w:rsid w:val="004D69A5"/>
    <w:rsid w:val="004E306A"/>
    <w:rsid w:val="004F367A"/>
    <w:rsid w:val="00524A99"/>
    <w:rsid w:val="00526350"/>
    <w:rsid w:val="005302B1"/>
    <w:rsid w:val="005376B8"/>
    <w:rsid w:val="00541689"/>
    <w:rsid w:val="00544820"/>
    <w:rsid w:val="00547F40"/>
    <w:rsid w:val="00551A7E"/>
    <w:rsid w:val="00557C74"/>
    <w:rsid w:val="005657CF"/>
    <w:rsid w:val="00570505"/>
    <w:rsid w:val="00570B93"/>
    <w:rsid w:val="00573239"/>
    <w:rsid w:val="00581AED"/>
    <w:rsid w:val="00591BF0"/>
    <w:rsid w:val="005A43FF"/>
    <w:rsid w:val="005A650E"/>
    <w:rsid w:val="005B154F"/>
    <w:rsid w:val="005B2A48"/>
    <w:rsid w:val="005B38B8"/>
    <w:rsid w:val="005B43CA"/>
    <w:rsid w:val="005B572A"/>
    <w:rsid w:val="005B650C"/>
    <w:rsid w:val="005C3703"/>
    <w:rsid w:val="005C7301"/>
    <w:rsid w:val="005D1228"/>
    <w:rsid w:val="005D2764"/>
    <w:rsid w:val="005D7F09"/>
    <w:rsid w:val="005E13A5"/>
    <w:rsid w:val="005E1913"/>
    <w:rsid w:val="005E3A38"/>
    <w:rsid w:val="005E68DD"/>
    <w:rsid w:val="005F0F79"/>
    <w:rsid w:val="005F5F14"/>
    <w:rsid w:val="005F61D9"/>
    <w:rsid w:val="00603944"/>
    <w:rsid w:val="00612B9C"/>
    <w:rsid w:val="00614FD7"/>
    <w:rsid w:val="00617D74"/>
    <w:rsid w:val="00642FFE"/>
    <w:rsid w:val="00644116"/>
    <w:rsid w:val="00646AD5"/>
    <w:rsid w:val="00646B8F"/>
    <w:rsid w:val="006500F3"/>
    <w:rsid w:val="006544AD"/>
    <w:rsid w:val="00660F35"/>
    <w:rsid w:val="00666BB7"/>
    <w:rsid w:val="00667223"/>
    <w:rsid w:val="0067238B"/>
    <w:rsid w:val="00677E0A"/>
    <w:rsid w:val="00677F80"/>
    <w:rsid w:val="00680669"/>
    <w:rsid w:val="00682B6A"/>
    <w:rsid w:val="00685443"/>
    <w:rsid w:val="0069301F"/>
    <w:rsid w:val="00693C23"/>
    <w:rsid w:val="006A1CEA"/>
    <w:rsid w:val="006A2683"/>
    <w:rsid w:val="006A6A18"/>
    <w:rsid w:val="006B2732"/>
    <w:rsid w:val="006B6637"/>
    <w:rsid w:val="006C22C4"/>
    <w:rsid w:val="006C2B20"/>
    <w:rsid w:val="006D3458"/>
    <w:rsid w:val="006D628C"/>
    <w:rsid w:val="006D6574"/>
    <w:rsid w:val="006E7C44"/>
    <w:rsid w:val="006F159A"/>
    <w:rsid w:val="006F376A"/>
    <w:rsid w:val="00701ABB"/>
    <w:rsid w:val="00702CAC"/>
    <w:rsid w:val="00705438"/>
    <w:rsid w:val="007117FE"/>
    <w:rsid w:val="00716470"/>
    <w:rsid w:val="00720647"/>
    <w:rsid w:val="0072176D"/>
    <w:rsid w:val="00732EFF"/>
    <w:rsid w:val="00737F0C"/>
    <w:rsid w:val="00742B30"/>
    <w:rsid w:val="0074515B"/>
    <w:rsid w:val="00751A27"/>
    <w:rsid w:val="007544A3"/>
    <w:rsid w:val="007607D2"/>
    <w:rsid w:val="00761734"/>
    <w:rsid w:val="00764BA8"/>
    <w:rsid w:val="007675EB"/>
    <w:rsid w:val="00767EB0"/>
    <w:rsid w:val="00776E64"/>
    <w:rsid w:val="00784B30"/>
    <w:rsid w:val="00786FCD"/>
    <w:rsid w:val="0079320A"/>
    <w:rsid w:val="007A01A1"/>
    <w:rsid w:val="007B370D"/>
    <w:rsid w:val="007B7EF7"/>
    <w:rsid w:val="007C194C"/>
    <w:rsid w:val="007C68F7"/>
    <w:rsid w:val="007D7110"/>
    <w:rsid w:val="007E2656"/>
    <w:rsid w:val="007E2ACB"/>
    <w:rsid w:val="007E4E7B"/>
    <w:rsid w:val="007E52D2"/>
    <w:rsid w:val="007F054F"/>
    <w:rsid w:val="007F171F"/>
    <w:rsid w:val="007F4DE7"/>
    <w:rsid w:val="007F5AC2"/>
    <w:rsid w:val="008065F8"/>
    <w:rsid w:val="008101D1"/>
    <w:rsid w:val="00810635"/>
    <w:rsid w:val="0081119F"/>
    <w:rsid w:val="00812547"/>
    <w:rsid w:val="008133BF"/>
    <w:rsid w:val="00813606"/>
    <w:rsid w:val="008157A4"/>
    <w:rsid w:val="00817887"/>
    <w:rsid w:val="00827C5E"/>
    <w:rsid w:val="0083042E"/>
    <w:rsid w:val="00846C03"/>
    <w:rsid w:val="008545C6"/>
    <w:rsid w:val="008549E4"/>
    <w:rsid w:val="0086040D"/>
    <w:rsid w:val="00860E7B"/>
    <w:rsid w:val="00865C71"/>
    <w:rsid w:val="00867422"/>
    <w:rsid w:val="00876583"/>
    <w:rsid w:val="0088046C"/>
    <w:rsid w:val="00882170"/>
    <w:rsid w:val="0088332E"/>
    <w:rsid w:val="00883747"/>
    <w:rsid w:val="00884748"/>
    <w:rsid w:val="008A0C30"/>
    <w:rsid w:val="008A0C3A"/>
    <w:rsid w:val="008A1BF3"/>
    <w:rsid w:val="008A6FF8"/>
    <w:rsid w:val="008B0DFC"/>
    <w:rsid w:val="008B26D4"/>
    <w:rsid w:val="008B5FFD"/>
    <w:rsid w:val="008C0E69"/>
    <w:rsid w:val="008C34A8"/>
    <w:rsid w:val="008C46F2"/>
    <w:rsid w:val="008C479B"/>
    <w:rsid w:val="008D5EBE"/>
    <w:rsid w:val="008E7CC8"/>
    <w:rsid w:val="008F087B"/>
    <w:rsid w:val="009023F7"/>
    <w:rsid w:val="009046B5"/>
    <w:rsid w:val="0092388D"/>
    <w:rsid w:val="00926905"/>
    <w:rsid w:val="009351BE"/>
    <w:rsid w:val="00937A0E"/>
    <w:rsid w:val="00945749"/>
    <w:rsid w:val="00950610"/>
    <w:rsid w:val="009531D7"/>
    <w:rsid w:val="00955E19"/>
    <w:rsid w:val="00956F40"/>
    <w:rsid w:val="00957ED1"/>
    <w:rsid w:val="0096056B"/>
    <w:rsid w:val="00961C24"/>
    <w:rsid w:val="009644AB"/>
    <w:rsid w:val="009701BC"/>
    <w:rsid w:val="00971EDA"/>
    <w:rsid w:val="00973454"/>
    <w:rsid w:val="00973E47"/>
    <w:rsid w:val="009753BE"/>
    <w:rsid w:val="00976B6E"/>
    <w:rsid w:val="009816E2"/>
    <w:rsid w:val="00992BF3"/>
    <w:rsid w:val="00993413"/>
    <w:rsid w:val="00993732"/>
    <w:rsid w:val="009A22AB"/>
    <w:rsid w:val="009A5F17"/>
    <w:rsid w:val="009A6CB8"/>
    <w:rsid w:val="009B08A4"/>
    <w:rsid w:val="009B1CC6"/>
    <w:rsid w:val="009B64C7"/>
    <w:rsid w:val="009C2B13"/>
    <w:rsid w:val="009C320C"/>
    <w:rsid w:val="009C373F"/>
    <w:rsid w:val="009C3CA8"/>
    <w:rsid w:val="009C3E3A"/>
    <w:rsid w:val="009C58CE"/>
    <w:rsid w:val="009C62ED"/>
    <w:rsid w:val="009D09C0"/>
    <w:rsid w:val="009D2191"/>
    <w:rsid w:val="009E1C0E"/>
    <w:rsid w:val="009E2745"/>
    <w:rsid w:val="009E3227"/>
    <w:rsid w:val="009E6550"/>
    <w:rsid w:val="009E768B"/>
    <w:rsid w:val="009F01E0"/>
    <w:rsid w:val="009F4369"/>
    <w:rsid w:val="00A0001C"/>
    <w:rsid w:val="00A01ED5"/>
    <w:rsid w:val="00A03366"/>
    <w:rsid w:val="00A13CAC"/>
    <w:rsid w:val="00A2696C"/>
    <w:rsid w:val="00A27172"/>
    <w:rsid w:val="00A35E85"/>
    <w:rsid w:val="00A37905"/>
    <w:rsid w:val="00A40CF4"/>
    <w:rsid w:val="00A41D7C"/>
    <w:rsid w:val="00A44A8E"/>
    <w:rsid w:val="00A46DA7"/>
    <w:rsid w:val="00A5036A"/>
    <w:rsid w:val="00A61570"/>
    <w:rsid w:val="00A62C28"/>
    <w:rsid w:val="00A631BF"/>
    <w:rsid w:val="00A63A38"/>
    <w:rsid w:val="00A63D15"/>
    <w:rsid w:val="00A6470B"/>
    <w:rsid w:val="00A662FC"/>
    <w:rsid w:val="00A76113"/>
    <w:rsid w:val="00A83D4C"/>
    <w:rsid w:val="00A8703D"/>
    <w:rsid w:val="00A9424E"/>
    <w:rsid w:val="00AA38E7"/>
    <w:rsid w:val="00AA3E8D"/>
    <w:rsid w:val="00AB0115"/>
    <w:rsid w:val="00AB7BA2"/>
    <w:rsid w:val="00AD258A"/>
    <w:rsid w:val="00AD29A7"/>
    <w:rsid w:val="00AE1A6C"/>
    <w:rsid w:val="00AE31F4"/>
    <w:rsid w:val="00AE3217"/>
    <w:rsid w:val="00AE4F0D"/>
    <w:rsid w:val="00AF0D04"/>
    <w:rsid w:val="00AF3A34"/>
    <w:rsid w:val="00AF5170"/>
    <w:rsid w:val="00B14836"/>
    <w:rsid w:val="00B25164"/>
    <w:rsid w:val="00B2564A"/>
    <w:rsid w:val="00B317BD"/>
    <w:rsid w:val="00B328AD"/>
    <w:rsid w:val="00B44B07"/>
    <w:rsid w:val="00B658F8"/>
    <w:rsid w:val="00B67D6E"/>
    <w:rsid w:val="00B73E84"/>
    <w:rsid w:val="00B74D37"/>
    <w:rsid w:val="00B76D5D"/>
    <w:rsid w:val="00B80B4C"/>
    <w:rsid w:val="00B81705"/>
    <w:rsid w:val="00B81AB6"/>
    <w:rsid w:val="00B821BF"/>
    <w:rsid w:val="00B835E9"/>
    <w:rsid w:val="00BA34A2"/>
    <w:rsid w:val="00BA3F7E"/>
    <w:rsid w:val="00BB1208"/>
    <w:rsid w:val="00BB202F"/>
    <w:rsid w:val="00BC4611"/>
    <w:rsid w:val="00BD5576"/>
    <w:rsid w:val="00BE15E1"/>
    <w:rsid w:val="00BF0282"/>
    <w:rsid w:val="00BF1DB5"/>
    <w:rsid w:val="00BF5856"/>
    <w:rsid w:val="00BF7022"/>
    <w:rsid w:val="00C010BE"/>
    <w:rsid w:val="00C02877"/>
    <w:rsid w:val="00C129BC"/>
    <w:rsid w:val="00C2272E"/>
    <w:rsid w:val="00C22B78"/>
    <w:rsid w:val="00C27F60"/>
    <w:rsid w:val="00C33970"/>
    <w:rsid w:val="00C379E0"/>
    <w:rsid w:val="00C37E53"/>
    <w:rsid w:val="00C408EB"/>
    <w:rsid w:val="00C41525"/>
    <w:rsid w:val="00C43A2A"/>
    <w:rsid w:val="00C55451"/>
    <w:rsid w:val="00C5597F"/>
    <w:rsid w:val="00C609AE"/>
    <w:rsid w:val="00C63994"/>
    <w:rsid w:val="00C66CAF"/>
    <w:rsid w:val="00C72483"/>
    <w:rsid w:val="00C82D1C"/>
    <w:rsid w:val="00C8631F"/>
    <w:rsid w:val="00C87C33"/>
    <w:rsid w:val="00C902B4"/>
    <w:rsid w:val="00C925EB"/>
    <w:rsid w:val="00CA25DA"/>
    <w:rsid w:val="00CA7A82"/>
    <w:rsid w:val="00CB0494"/>
    <w:rsid w:val="00CB541B"/>
    <w:rsid w:val="00CC1461"/>
    <w:rsid w:val="00CC165F"/>
    <w:rsid w:val="00CC5A76"/>
    <w:rsid w:val="00CD28DA"/>
    <w:rsid w:val="00CD328D"/>
    <w:rsid w:val="00CE103C"/>
    <w:rsid w:val="00CE4120"/>
    <w:rsid w:val="00CE44A9"/>
    <w:rsid w:val="00CE710A"/>
    <w:rsid w:val="00CF34CE"/>
    <w:rsid w:val="00CF5F66"/>
    <w:rsid w:val="00D074B1"/>
    <w:rsid w:val="00D112D9"/>
    <w:rsid w:val="00D14A3C"/>
    <w:rsid w:val="00D35BF2"/>
    <w:rsid w:val="00D4246A"/>
    <w:rsid w:val="00D456EC"/>
    <w:rsid w:val="00D51479"/>
    <w:rsid w:val="00D5199B"/>
    <w:rsid w:val="00D61109"/>
    <w:rsid w:val="00D63871"/>
    <w:rsid w:val="00D64A6D"/>
    <w:rsid w:val="00D75210"/>
    <w:rsid w:val="00D809BD"/>
    <w:rsid w:val="00D83C8D"/>
    <w:rsid w:val="00D9317A"/>
    <w:rsid w:val="00D932C6"/>
    <w:rsid w:val="00D93DC9"/>
    <w:rsid w:val="00DA1CDC"/>
    <w:rsid w:val="00DA34FE"/>
    <w:rsid w:val="00DA39DA"/>
    <w:rsid w:val="00DB03D7"/>
    <w:rsid w:val="00DB4300"/>
    <w:rsid w:val="00DB79AA"/>
    <w:rsid w:val="00DC41B1"/>
    <w:rsid w:val="00DC48A3"/>
    <w:rsid w:val="00DD30C1"/>
    <w:rsid w:val="00DD7BDB"/>
    <w:rsid w:val="00DE0B85"/>
    <w:rsid w:val="00DE1775"/>
    <w:rsid w:val="00DE4336"/>
    <w:rsid w:val="00DF780A"/>
    <w:rsid w:val="00E01DEF"/>
    <w:rsid w:val="00E03D44"/>
    <w:rsid w:val="00E0478A"/>
    <w:rsid w:val="00E06124"/>
    <w:rsid w:val="00E10362"/>
    <w:rsid w:val="00E1493D"/>
    <w:rsid w:val="00E16F49"/>
    <w:rsid w:val="00E1785D"/>
    <w:rsid w:val="00E27D27"/>
    <w:rsid w:val="00E47CCA"/>
    <w:rsid w:val="00E53308"/>
    <w:rsid w:val="00E54B1C"/>
    <w:rsid w:val="00E601FC"/>
    <w:rsid w:val="00E60A7B"/>
    <w:rsid w:val="00E6530F"/>
    <w:rsid w:val="00E6768D"/>
    <w:rsid w:val="00E74D7F"/>
    <w:rsid w:val="00E7688F"/>
    <w:rsid w:val="00E83742"/>
    <w:rsid w:val="00E84EB4"/>
    <w:rsid w:val="00E86AF4"/>
    <w:rsid w:val="00E87805"/>
    <w:rsid w:val="00E90EF1"/>
    <w:rsid w:val="00E91C13"/>
    <w:rsid w:val="00E949FD"/>
    <w:rsid w:val="00EA0B99"/>
    <w:rsid w:val="00EB2DF9"/>
    <w:rsid w:val="00ED3C27"/>
    <w:rsid w:val="00ED3CFF"/>
    <w:rsid w:val="00ED4206"/>
    <w:rsid w:val="00ED519E"/>
    <w:rsid w:val="00ED6AC0"/>
    <w:rsid w:val="00EE4E80"/>
    <w:rsid w:val="00F060EA"/>
    <w:rsid w:val="00F07970"/>
    <w:rsid w:val="00F10DA3"/>
    <w:rsid w:val="00F11434"/>
    <w:rsid w:val="00F16AC6"/>
    <w:rsid w:val="00F20413"/>
    <w:rsid w:val="00F238C0"/>
    <w:rsid w:val="00F302EE"/>
    <w:rsid w:val="00F32591"/>
    <w:rsid w:val="00F33DE6"/>
    <w:rsid w:val="00F42B13"/>
    <w:rsid w:val="00F43470"/>
    <w:rsid w:val="00F45F10"/>
    <w:rsid w:val="00F51D37"/>
    <w:rsid w:val="00F54A99"/>
    <w:rsid w:val="00F55315"/>
    <w:rsid w:val="00F56153"/>
    <w:rsid w:val="00F668CB"/>
    <w:rsid w:val="00F7126A"/>
    <w:rsid w:val="00F75904"/>
    <w:rsid w:val="00F760F2"/>
    <w:rsid w:val="00F77F43"/>
    <w:rsid w:val="00F81B05"/>
    <w:rsid w:val="00F858D7"/>
    <w:rsid w:val="00F91377"/>
    <w:rsid w:val="00F9306A"/>
    <w:rsid w:val="00FA4B28"/>
    <w:rsid w:val="00FB0A99"/>
    <w:rsid w:val="00FB6262"/>
    <w:rsid w:val="00FC2E2D"/>
    <w:rsid w:val="00FC3A5A"/>
    <w:rsid w:val="00FD1B23"/>
    <w:rsid w:val="00FD572E"/>
    <w:rsid w:val="00FE02E1"/>
    <w:rsid w:val="00FE0BD1"/>
    <w:rsid w:val="00FE31D2"/>
    <w:rsid w:val="00FE46E8"/>
    <w:rsid w:val="00FE4ED9"/>
    <w:rsid w:val="117A14B8"/>
    <w:rsid w:val="131B64E3"/>
    <w:rsid w:val="136A10B9"/>
    <w:rsid w:val="1ACC4407"/>
    <w:rsid w:val="2512400B"/>
    <w:rsid w:val="2641495F"/>
    <w:rsid w:val="2B564F27"/>
    <w:rsid w:val="2F922F23"/>
    <w:rsid w:val="341F6122"/>
    <w:rsid w:val="4A522435"/>
    <w:rsid w:val="4B5E43CC"/>
    <w:rsid w:val="527C7EE5"/>
    <w:rsid w:val="5455279C"/>
    <w:rsid w:val="59D213EF"/>
    <w:rsid w:val="5B2A416F"/>
    <w:rsid w:val="5C1D7BD9"/>
    <w:rsid w:val="5D275C48"/>
    <w:rsid w:val="61F87FCE"/>
    <w:rsid w:val="68605065"/>
    <w:rsid w:val="6ABF67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21"/>
    <w:qFormat/>
    <w:uiPriority w:val="9"/>
    <w:pPr>
      <w:keepNext/>
      <w:keepLines/>
      <w:spacing w:before="340" w:after="330" w:line="578" w:lineRule="auto"/>
      <w:jc w:val="center"/>
      <w:outlineLvl w:val="0"/>
    </w:pPr>
    <w:rPr>
      <w:rFonts w:eastAsia="黑体"/>
      <w:b/>
      <w:bCs/>
      <w:kern w:val="44"/>
      <w:szCs w:val="44"/>
    </w:rPr>
  </w:style>
  <w:style w:type="paragraph" w:styleId="3">
    <w:name w:val="heading 2"/>
    <w:basedOn w:val="1"/>
    <w:next w:val="1"/>
    <w:link w:val="23"/>
    <w:unhideWhenUsed/>
    <w:qFormat/>
    <w:uiPriority w:val="9"/>
    <w:pPr>
      <w:keepNext/>
      <w:keepLines/>
      <w:spacing w:before="260" w:after="260" w:line="415" w:lineRule="auto"/>
      <w:jc w:val="left"/>
      <w:outlineLvl w:val="1"/>
    </w:pPr>
    <w:rPr>
      <w:rFonts w:eastAsia="楷体" w:asciiTheme="majorHAnsi" w:hAnsiTheme="majorHAnsi" w:cstheme="majorBidi"/>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eastAsia="宋体"/>
      <w:sz w:val="18"/>
      <w:szCs w:val="18"/>
    </w:rPr>
  </w:style>
  <w:style w:type="paragraph" w:styleId="5">
    <w:name w:val="annotation text"/>
    <w:basedOn w:val="1"/>
    <w:link w:val="29"/>
    <w:unhideWhenUsed/>
    <w:qFormat/>
    <w:uiPriority w:val="99"/>
    <w:pPr>
      <w:jc w:val="left"/>
    </w:pPr>
  </w:style>
  <w:style w:type="paragraph" w:styleId="6">
    <w:name w:val="Body Text"/>
    <w:basedOn w:val="1"/>
    <w:link w:val="32"/>
    <w:semiHidden/>
    <w:unhideWhenUsed/>
    <w:qFormat/>
    <w:uiPriority w:val="99"/>
    <w:pPr>
      <w:spacing w:after="120"/>
    </w:pPr>
  </w:style>
  <w:style w:type="paragraph" w:styleId="7">
    <w:name w:val="Body Text Indent 2"/>
    <w:basedOn w:val="1"/>
    <w:link w:val="31"/>
    <w:qFormat/>
    <w:uiPriority w:val="0"/>
    <w:pPr>
      <w:spacing w:after="120" w:line="480" w:lineRule="auto"/>
      <w:ind w:left="420" w:leftChars="200" w:firstLine="0" w:firstLineChars="0"/>
    </w:pPr>
    <w:rPr>
      <w:rFonts w:eastAsia="宋体" w:cs="Times New Roman"/>
      <w:sz w:val="21"/>
      <w:szCs w:val="24"/>
    </w:rPr>
  </w:style>
  <w:style w:type="paragraph" w:styleId="8">
    <w:name w:val="Balloon Text"/>
    <w:basedOn w:val="1"/>
    <w:link w:val="28"/>
    <w:semiHidden/>
    <w:unhideWhenUsed/>
    <w:qFormat/>
    <w:uiPriority w:val="99"/>
    <w:pPr>
      <w:spacing w:line="240" w:lineRule="auto"/>
    </w:pPr>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5"/>
    <w:next w:val="5"/>
    <w:link w:val="30"/>
    <w:semiHidden/>
    <w:unhideWhenUsed/>
    <w:qFormat/>
    <w:uiPriority w:val="99"/>
    <w:rPr>
      <w:b/>
      <w:bCs/>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Hyperlink"/>
    <w:basedOn w:val="16"/>
    <w:unhideWhenUsed/>
    <w:qFormat/>
    <w:uiPriority w:val="99"/>
    <w:rPr>
      <w:color w:val="0000FF" w:themeColor="hyperlink"/>
      <w:u w:val="single"/>
    </w:rPr>
  </w:style>
  <w:style w:type="character" w:styleId="18">
    <w:name w:val="annotation reference"/>
    <w:basedOn w:val="16"/>
    <w:unhideWhenUsed/>
    <w:qFormat/>
    <w:uiPriority w:val="99"/>
    <w:rPr>
      <w:sz w:val="21"/>
      <w:szCs w:val="21"/>
    </w:rPr>
  </w:style>
  <w:style w:type="character" w:customStyle="1" w:styleId="19">
    <w:name w:val="页眉 Char"/>
    <w:basedOn w:val="16"/>
    <w:link w:val="10"/>
    <w:semiHidden/>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标题 1 Char"/>
    <w:basedOn w:val="16"/>
    <w:link w:val="2"/>
    <w:qFormat/>
    <w:uiPriority w:val="9"/>
    <w:rPr>
      <w:rFonts w:ascii="Times New Roman" w:hAnsi="Times New Roman" w:eastAsia="黑体"/>
      <w:b/>
      <w:bCs/>
      <w:kern w:val="44"/>
      <w:sz w:val="32"/>
      <w:szCs w:val="44"/>
    </w:rPr>
  </w:style>
  <w:style w:type="character" w:customStyle="1" w:styleId="22">
    <w:name w:val="文档结构图 Char"/>
    <w:basedOn w:val="16"/>
    <w:link w:val="4"/>
    <w:semiHidden/>
    <w:qFormat/>
    <w:uiPriority w:val="99"/>
    <w:rPr>
      <w:rFonts w:ascii="宋体" w:eastAsia="宋体"/>
      <w:sz w:val="18"/>
      <w:szCs w:val="18"/>
    </w:rPr>
  </w:style>
  <w:style w:type="character" w:customStyle="1" w:styleId="23">
    <w:name w:val="标题 2 Char"/>
    <w:basedOn w:val="16"/>
    <w:link w:val="3"/>
    <w:qFormat/>
    <w:uiPriority w:val="9"/>
    <w:rPr>
      <w:rFonts w:eastAsia="楷体" w:asciiTheme="majorHAnsi" w:hAnsiTheme="majorHAnsi" w:cstheme="majorBidi"/>
      <w:b/>
      <w:bCs/>
      <w:sz w:val="32"/>
      <w:szCs w:val="32"/>
    </w:rPr>
  </w:style>
  <w:style w:type="character" w:customStyle="1" w:styleId="24">
    <w:name w:val="标准文字 Char"/>
    <w:link w:val="25"/>
    <w:qFormat/>
    <w:locked/>
    <w:uiPriority w:val="0"/>
    <w:rPr>
      <w:rFonts w:eastAsia="仿宋_GB2312"/>
      <w:sz w:val="32"/>
      <w:szCs w:val="32"/>
    </w:rPr>
  </w:style>
  <w:style w:type="paragraph" w:customStyle="1" w:styleId="25">
    <w:name w:val="标准文字"/>
    <w:basedOn w:val="1"/>
    <w:link w:val="24"/>
    <w:qFormat/>
    <w:uiPriority w:val="0"/>
    <w:pPr>
      <w:overflowPunct w:val="0"/>
      <w:ind w:firstLine="640"/>
    </w:pPr>
    <w:rPr>
      <w:rFonts w:eastAsia="仿宋_GB2312" w:asciiTheme="minorHAnsi" w:hAnsiTheme="minorHAnsi"/>
      <w:szCs w:val="32"/>
    </w:rPr>
  </w:style>
  <w:style w:type="paragraph" w:customStyle="1" w:styleId="26">
    <w:name w:val="Default"/>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 w:type="paragraph" w:customStyle="1" w:styleId="27">
    <w:name w:val="TOC 标题1"/>
    <w:basedOn w:val="2"/>
    <w:next w:val="1"/>
    <w:semiHidden/>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6"/>
    <w:link w:val="8"/>
    <w:semiHidden/>
    <w:qFormat/>
    <w:uiPriority w:val="99"/>
    <w:rPr>
      <w:rFonts w:ascii="Times New Roman" w:hAnsi="Times New Roman" w:eastAsia="仿宋"/>
      <w:sz w:val="18"/>
      <w:szCs w:val="18"/>
    </w:rPr>
  </w:style>
  <w:style w:type="character" w:customStyle="1" w:styleId="29">
    <w:name w:val="批注文字 Char"/>
    <w:basedOn w:val="16"/>
    <w:link w:val="5"/>
    <w:qFormat/>
    <w:uiPriority w:val="99"/>
    <w:rPr>
      <w:rFonts w:ascii="Times New Roman" w:hAnsi="Times New Roman" w:eastAsia="仿宋"/>
      <w:kern w:val="2"/>
      <w:sz w:val="32"/>
      <w:szCs w:val="22"/>
    </w:rPr>
  </w:style>
  <w:style w:type="character" w:customStyle="1" w:styleId="30">
    <w:name w:val="批注主题 Char"/>
    <w:basedOn w:val="29"/>
    <w:link w:val="13"/>
    <w:qFormat/>
    <w:uiPriority w:val="0"/>
    <w:rPr>
      <w:rFonts w:ascii="Times New Roman" w:hAnsi="Times New Roman" w:eastAsia="仿宋"/>
      <w:kern w:val="2"/>
      <w:sz w:val="32"/>
      <w:szCs w:val="22"/>
    </w:rPr>
  </w:style>
  <w:style w:type="character" w:customStyle="1" w:styleId="31">
    <w:name w:val="正文文本缩进 2 Char"/>
    <w:basedOn w:val="16"/>
    <w:link w:val="7"/>
    <w:qFormat/>
    <w:uiPriority w:val="0"/>
    <w:rPr>
      <w:rFonts w:ascii="Times New Roman" w:hAnsi="Times New Roman" w:eastAsia="宋体" w:cs="Times New Roman"/>
      <w:kern w:val="2"/>
      <w:sz w:val="21"/>
      <w:szCs w:val="24"/>
    </w:rPr>
  </w:style>
  <w:style w:type="character" w:customStyle="1" w:styleId="32">
    <w:name w:val="正文文本 Char"/>
    <w:basedOn w:val="16"/>
    <w:link w:val="6"/>
    <w:semiHidden/>
    <w:qFormat/>
    <w:uiPriority w:val="99"/>
    <w:rPr>
      <w:rFonts w:ascii="Times New Roman" w:hAnsi="Times New Roman" w:eastAsia="仿宋"/>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08D61-A6C8-458C-95E0-F2D44F9A424F}">
  <ds:schemaRefs/>
</ds:datastoreItem>
</file>

<file path=docProps/app.xml><?xml version="1.0" encoding="utf-8"?>
<Properties xmlns="http://schemas.openxmlformats.org/officeDocument/2006/extended-properties" xmlns:vt="http://schemas.openxmlformats.org/officeDocument/2006/docPropsVTypes">
  <Template>Normal</Template>
  <Pages>54</Pages>
  <Words>22923</Words>
  <Characters>23290</Characters>
  <Lines>192</Lines>
  <Paragraphs>54</Paragraphs>
  <TotalTime>1</TotalTime>
  <ScaleCrop>false</ScaleCrop>
  <LinksUpToDate>false</LinksUpToDate>
  <CharactersWithSpaces>23575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2022-02-11T01:29:00Z</dcterms:created>
  <dc:creator>Administrator</dc:creator>
  <cp:lastModifiedBy>我相信</cp:lastModifiedBy>
  <cp:lastPrinted>2023-04-07T06:31:00Z</cp:lastPrinted>
  <dcterms:modified xsi:type="dcterms:W3CDTF">2023-04-17T07:01:02Z</dcterms:modified>
  <cp:revision>929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146EEC9CBFBD46A6A752990CA013CC07</vt:lpwstr>
  </property>
</Properties>
</file>