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numPr>
          <w:ilvl w:val="0"/>
          <w:numId w:val="0"/>
        </w:numPr>
        <w:wordWrap/>
        <w:adjustRightInd/>
        <w:snapToGrid/>
        <w:spacing w:line="360" w:lineRule="exact"/>
        <w:ind w:right="0"/>
        <w:textAlignment w:val="auto"/>
        <w:outlineLvl w:val="9"/>
        <w:rPr>
          <w:rFonts w:hint="eastAsia"/>
          <w:sz w:val="32"/>
          <w:szCs w:val="32"/>
          <w:lang w:val="en-US" w:eastAsia="zh-CN"/>
        </w:rPr>
      </w:pPr>
      <w:r>
        <w:rPr>
          <w:rFonts w:hint="eastAsia"/>
          <w:sz w:val="32"/>
          <w:szCs w:val="32"/>
          <w:lang w:val="en-US" w:eastAsia="zh-CN"/>
        </w:rPr>
        <w:t xml:space="preserve"> </w:t>
      </w:r>
    </w:p>
    <w:p>
      <w:pPr>
        <w:widowControl/>
        <w:numPr>
          <w:ilvl w:val="0"/>
          <w:numId w:val="0"/>
        </w:numPr>
        <w:wordWrap/>
        <w:adjustRightInd/>
        <w:snapToGrid/>
        <w:spacing w:line="360" w:lineRule="exact"/>
        <w:ind w:right="0"/>
        <w:textAlignment w:val="auto"/>
        <w:outlineLvl w:val="9"/>
        <w:rPr>
          <w:rFonts w:hint="eastAsia"/>
          <w:sz w:val="44"/>
          <w:szCs w:val="44"/>
          <w:lang w:val="en-US" w:eastAsia="zh-CN"/>
        </w:rPr>
      </w:pPr>
      <w:r>
        <w:rPr>
          <w:rFonts w:hint="eastAsia"/>
          <w:sz w:val="32"/>
          <w:szCs w:val="32"/>
          <w:lang w:val="en-US" w:eastAsia="zh-CN"/>
        </w:rPr>
        <w:t xml:space="preserve"> </w:t>
      </w:r>
    </w:p>
    <w:p>
      <w:pPr>
        <w:jc w:val="center"/>
        <w:rPr>
          <w:rFonts w:hint="eastAsia"/>
          <w:b/>
          <w:bCs/>
          <w:sz w:val="44"/>
          <w:szCs w:val="44"/>
          <w:lang w:val="en-US" w:eastAsia="zh-CN"/>
        </w:rPr>
      </w:pPr>
      <w:bookmarkStart w:id="0" w:name="OLE_LINK1"/>
      <w:bookmarkStart w:id="1" w:name="OLE_LINK2"/>
      <w:bookmarkStart w:id="2" w:name="OLE_LINK4"/>
      <w:r>
        <w:rPr>
          <w:rFonts w:hint="eastAsia"/>
          <w:b/>
          <w:bCs/>
          <w:sz w:val="44"/>
          <w:szCs w:val="44"/>
          <w:lang w:val="en-US" w:eastAsia="zh-CN"/>
        </w:rPr>
        <w:t>关于靖宇县祥盛牲畜屠宰场</w:t>
      </w:r>
      <w:bookmarkEnd w:id="0"/>
      <w:r>
        <w:rPr>
          <w:rFonts w:hint="eastAsia"/>
          <w:b/>
          <w:bCs/>
          <w:sz w:val="44"/>
          <w:szCs w:val="44"/>
          <w:lang w:val="en-US" w:eastAsia="zh-CN"/>
        </w:rPr>
        <w:t>年屠宰</w:t>
      </w:r>
    </w:p>
    <w:p>
      <w:pPr>
        <w:jc w:val="center"/>
        <w:rPr>
          <w:rFonts w:hint="eastAsia"/>
          <w:b/>
          <w:bCs/>
          <w:sz w:val="44"/>
          <w:szCs w:val="44"/>
          <w:lang w:val="en-US" w:eastAsia="zh-CN"/>
        </w:rPr>
      </w:pPr>
      <w:r>
        <w:rPr>
          <w:rFonts w:hint="eastAsia"/>
          <w:b/>
          <w:bCs/>
          <w:sz w:val="44"/>
          <w:szCs w:val="44"/>
          <w:lang w:val="en-US" w:eastAsia="zh-CN"/>
        </w:rPr>
        <w:t>牛1095头、羊7300只建设项目</w:t>
      </w:r>
      <w:bookmarkEnd w:id="1"/>
    </w:p>
    <w:p>
      <w:pPr>
        <w:jc w:val="center"/>
        <w:rPr>
          <w:rFonts w:hint="eastAsia"/>
          <w:b/>
          <w:bCs/>
          <w:sz w:val="44"/>
          <w:szCs w:val="44"/>
          <w:lang w:val="en-US" w:eastAsia="zh-CN"/>
        </w:rPr>
      </w:pPr>
      <w:r>
        <w:rPr>
          <w:rFonts w:hint="eastAsia"/>
          <w:b/>
          <w:bCs/>
          <w:sz w:val="44"/>
          <w:szCs w:val="44"/>
          <w:lang w:val="en-US" w:eastAsia="zh-CN"/>
        </w:rPr>
        <w:t>环境影响报告表的批复</w:t>
      </w:r>
    </w:p>
    <w:bookmarkEnd w:id="2"/>
    <w:p>
      <w:pPr>
        <w:widowControl/>
        <w:numPr>
          <w:ilvl w:val="0"/>
          <w:numId w:val="0"/>
        </w:numPr>
        <w:wordWrap/>
        <w:adjustRightInd/>
        <w:snapToGrid/>
        <w:spacing w:line="360" w:lineRule="exact"/>
        <w:ind w:right="0"/>
        <w:jc w:val="both"/>
        <w:textAlignment w:val="auto"/>
        <w:outlineLvl w:val="9"/>
        <w:rPr>
          <w:rFonts w:hint="eastAsia" w:eastAsia="宋体" w:cs="Times New Roman"/>
          <w:sz w:val="32"/>
          <w:szCs w:val="32"/>
          <w:lang w:val="en-US" w:eastAsia="zh-CN"/>
        </w:rPr>
      </w:pPr>
    </w:p>
    <w:p>
      <w:pPr>
        <w:widowControl/>
        <w:numPr>
          <w:ilvl w:val="0"/>
          <w:numId w:val="0"/>
        </w:numPr>
        <w:wordWrap/>
        <w:adjustRightInd/>
        <w:snapToGrid/>
        <w:spacing w:line="360" w:lineRule="exact"/>
        <w:ind w:right="0"/>
        <w:jc w:val="both"/>
        <w:textAlignment w:val="auto"/>
        <w:outlineLvl w:val="9"/>
        <w:rPr>
          <w:rFonts w:hint="eastAsia" w:eastAsia="宋体" w:cs="Times New Roman"/>
          <w:sz w:val="32"/>
          <w:szCs w:val="32"/>
          <w:lang w:val="en-US" w:eastAsia="zh-CN"/>
        </w:rPr>
      </w:pPr>
    </w:p>
    <w:p>
      <w:pPr>
        <w:widowControl/>
        <w:numPr>
          <w:ilvl w:val="0"/>
          <w:numId w:val="0"/>
        </w:numPr>
        <w:wordWrap/>
        <w:adjustRightInd/>
        <w:snapToGrid/>
        <w:spacing w:line="360" w:lineRule="exact"/>
        <w:ind w:right="0"/>
        <w:jc w:val="both"/>
        <w:textAlignment w:val="auto"/>
        <w:outlineLvl w:val="9"/>
        <w:rPr>
          <w:rFonts w:hint="eastAsia"/>
          <w:b/>
          <w:bCs/>
          <w:sz w:val="32"/>
          <w:szCs w:val="32"/>
          <w:lang w:val="en-US" w:eastAsia="zh-CN"/>
        </w:rPr>
      </w:pPr>
      <w:r>
        <w:rPr>
          <w:rFonts w:hint="eastAsia" w:eastAsia="宋体" w:cs="Times New Roman"/>
          <w:sz w:val="32"/>
          <w:szCs w:val="32"/>
          <w:lang w:val="en-US" w:eastAsia="zh-CN"/>
        </w:rPr>
        <w:t>靖宇县祥盛牲畜屠宰场</w:t>
      </w:r>
      <w:r>
        <w:rPr>
          <w:rFonts w:hint="eastAsia" w:cs="Times New Roman"/>
          <w:sz w:val="32"/>
          <w:szCs w:val="32"/>
          <w:lang w:val="en-US" w:eastAsia="zh-CN"/>
        </w:rPr>
        <w:t>：</w:t>
      </w:r>
    </w:p>
    <w:p>
      <w:pPr>
        <w:widowControl w:val="0"/>
        <w:wordWrap/>
        <w:adjustRightInd/>
        <w:snapToGrid/>
        <w:spacing w:line="240" w:lineRule="auto"/>
        <w:ind w:right="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你单位委托吉林省环科环保技术有限公司编制的《靖宇县祥盛牲畜屠宰场年屠宰牛1095头、羊7300只建设项目环境影响报告表（报批版）》(以</w:t>
      </w:r>
      <w:r>
        <w:rPr>
          <w:rFonts w:hint="eastAsia" w:ascii="仿宋" w:hAnsi="仿宋" w:eastAsia="仿宋" w:cs="仿宋"/>
          <w:sz w:val="32"/>
          <w:szCs w:val="32"/>
        </w:rPr>
        <w:t>下简称“报告表”)收悉。该项目经专家评审、公示，符合审批要求，现批复如下：</w:t>
      </w:r>
    </w:p>
    <w:p>
      <w:pPr>
        <w:widowControl w:val="0"/>
        <w:wordWrap/>
        <w:adjustRightInd/>
        <w:snapToGrid/>
        <w:spacing w:line="240" w:lineRule="auto"/>
        <w:ind w:right="0" w:firstLine="643" w:firstLineChars="200"/>
        <w:jc w:val="both"/>
        <w:textAlignment w:val="auto"/>
        <w:outlineLvl w:val="9"/>
        <w:rPr>
          <w:rFonts w:hint="eastAsia" w:ascii="仿宋" w:hAnsi="仿宋" w:eastAsia="仿宋" w:cs="仿宋"/>
          <w:b/>
          <w:bCs/>
          <w:sz w:val="32"/>
          <w:szCs w:val="32"/>
        </w:rPr>
      </w:pPr>
      <w:r>
        <w:rPr>
          <w:rFonts w:hint="eastAsia" w:ascii="仿宋" w:hAnsi="仿宋" w:eastAsia="仿宋" w:cs="仿宋"/>
          <w:b/>
          <w:bCs/>
          <w:sz w:val="32"/>
          <w:szCs w:val="32"/>
          <w:lang w:eastAsia="zh-CN"/>
        </w:rPr>
        <w:t>一、</w:t>
      </w:r>
      <w:r>
        <w:rPr>
          <w:rFonts w:hint="eastAsia" w:ascii="仿宋" w:hAnsi="仿宋" w:eastAsia="仿宋" w:cs="仿宋"/>
          <w:b/>
          <w:bCs/>
          <w:sz w:val="32"/>
          <w:szCs w:val="32"/>
        </w:rPr>
        <w:t>建设项目基本情况和审批意见</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项目</w:t>
      </w:r>
      <w:r>
        <w:rPr>
          <w:rFonts w:hint="eastAsia" w:ascii="仿宋" w:hAnsi="仿宋" w:eastAsia="仿宋" w:cs="仿宋"/>
          <w:sz w:val="32"/>
          <w:szCs w:val="32"/>
        </w:rPr>
        <w:t>位于</w:t>
      </w:r>
      <w:r>
        <w:rPr>
          <w:rFonts w:hint="eastAsia" w:ascii="仿宋" w:hAnsi="仿宋" w:eastAsia="仿宋" w:cs="仿宋"/>
          <w:sz w:val="32"/>
          <w:szCs w:val="32"/>
          <w:lang w:eastAsia="zh-CN"/>
        </w:rPr>
        <w:t>靖宇镇靖安村，</w:t>
      </w:r>
      <w:r>
        <w:rPr>
          <w:rFonts w:hint="eastAsia" w:ascii="仿宋" w:hAnsi="仿宋" w:eastAsia="仿宋" w:cs="仿宋"/>
          <w:bCs/>
          <w:smallCaps w:val="0"/>
          <w:color w:val="auto"/>
          <w:kern w:val="21"/>
          <w:sz w:val="32"/>
          <w:szCs w:val="32"/>
          <w:lang w:val="en-US" w:eastAsia="zh-CN" w:bidi="ar-SA"/>
        </w:rPr>
        <w:t>场区地理中心坐标为东经126°48′4.786″，</w:t>
      </w:r>
      <w:r>
        <w:rPr>
          <w:rFonts w:hint="eastAsia" w:ascii="仿宋" w:hAnsi="仿宋" w:eastAsia="仿宋" w:cs="仿宋"/>
          <w:i w:val="0"/>
          <w:iCs w:val="0"/>
          <w:strike w:val="0"/>
          <w:dstrike w:val="0"/>
          <w:color w:val="auto"/>
          <w:sz w:val="32"/>
          <w:szCs w:val="32"/>
          <w:u w:val="none" w:color="auto"/>
          <w:lang w:val="en-US" w:eastAsia="zh-CN"/>
        </w:rPr>
        <w:t>北纬</w:t>
      </w:r>
      <w:r>
        <w:rPr>
          <w:rFonts w:hint="eastAsia" w:ascii="仿宋" w:hAnsi="仿宋" w:eastAsia="仿宋" w:cs="仿宋"/>
          <w:i w:val="0"/>
          <w:iCs w:val="0"/>
          <w:color w:val="auto"/>
          <w:sz w:val="32"/>
          <w:szCs w:val="32"/>
          <w:u w:val="none" w:color="auto"/>
          <w:lang w:val="en-US" w:eastAsia="zh-CN"/>
        </w:rPr>
        <w:t>42°24′8.707″。</w:t>
      </w:r>
      <w:r>
        <w:rPr>
          <w:rFonts w:hint="eastAsia" w:ascii="仿宋" w:hAnsi="仿宋" w:eastAsia="仿宋" w:cs="仿宋"/>
          <w:bCs/>
          <w:smallCaps w:val="0"/>
          <w:color w:val="auto"/>
          <w:kern w:val="21"/>
          <w:sz w:val="32"/>
          <w:szCs w:val="32"/>
          <w:lang w:val="en-US" w:eastAsia="zh-CN" w:bidi="ar-SA"/>
        </w:rPr>
        <w:t>该项目总投资100万元，其中环保投资55万元。年屠宰量为牛1095头（约4头/d）、羊7300只（约24只/d）。项目</w:t>
      </w:r>
      <w:r>
        <w:rPr>
          <w:rFonts w:hint="eastAsia" w:ascii="仿宋" w:hAnsi="仿宋" w:eastAsia="仿宋" w:cs="仿宋"/>
          <w:i w:val="0"/>
          <w:iCs w:val="0"/>
          <w:strike w:val="0"/>
          <w:dstrike w:val="0"/>
          <w:color w:val="auto"/>
          <w:sz w:val="32"/>
          <w:szCs w:val="32"/>
          <w:u w:val="none" w:color="auto"/>
          <w:lang w:val="en-US" w:eastAsia="zh-CN"/>
        </w:rPr>
        <w:t>利</w:t>
      </w:r>
      <w:r>
        <w:rPr>
          <w:rFonts w:hint="eastAsia" w:ascii="仿宋" w:hAnsi="仿宋" w:eastAsia="仿宋" w:cs="仿宋"/>
          <w:strike w:val="0"/>
          <w:dstrike w:val="0"/>
          <w:color w:val="auto"/>
          <w:sz w:val="32"/>
          <w:szCs w:val="32"/>
          <w:u w:val="none" w:color="auto"/>
          <w:lang w:val="en-US" w:eastAsia="zh-CN"/>
        </w:rPr>
        <w:t>用厂区内闲置建筑进行建设，对现有牛羊待宰圈进行分格和防渗改造，确保牛羊待宰圈面积达到最低标准（40m</w:t>
      </w:r>
      <w:r>
        <w:rPr>
          <w:rFonts w:hint="eastAsia" w:ascii="仿宋" w:hAnsi="仿宋" w:eastAsia="仿宋" w:cs="仿宋"/>
          <w:strike w:val="0"/>
          <w:dstrike w:val="0"/>
          <w:color w:val="auto"/>
          <w:sz w:val="32"/>
          <w:szCs w:val="32"/>
          <w:u w:val="none" w:color="auto"/>
          <w:vertAlign w:val="superscript"/>
          <w:lang w:val="en-US" w:eastAsia="zh-CN"/>
        </w:rPr>
        <w:t>2</w:t>
      </w:r>
      <w:r>
        <w:rPr>
          <w:rFonts w:hint="eastAsia" w:ascii="仿宋" w:hAnsi="仿宋" w:eastAsia="仿宋" w:cs="仿宋"/>
          <w:strike w:val="0"/>
          <w:dstrike w:val="0"/>
          <w:color w:val="auto"/>
          <w:sz w:val="32"/>
          <w:szCs w:val="32"/>
          <w:u w:val="none" w:color="auto"/>
          <w:lang w:val="en-US" w:eastAsia="zh-CN"/>
        </w:rPr>
        <w:t>）要求。购置牛羊屠宰设备及污水处理装置。</w:t>
      </w:r>
      <w:r>
        <w:rPr>
          <w:rFonts w:hint="eastAsia" w:ascii="仿宋" w:hAnsi="仿宋" w:eastAsia="仿宋" w:cs="仿宋"/>
          <w:sz w:val="32"/>
          <w:szCs w:val="32"/>
          <w:lang w:val="en-US" w:eastAsia="zh-CN"/>
        </w:rPr>
        <w:t>污水处理工艺为“预处理+厌氧（水解酸化）+好氧（生物接触氧化）+消毒”</w:t>
      </w:r>
      <w:r>
        <w:rPr>
          <w:rFonts w:hint="eastAsia" w:ascii="仿宋" w:hAnsi="仿宋" w:eastAsia="仿宋" w:cs="仿宋"/>
          <w:strike w:val="0"/>
          <w:dstrike w:val="0"/>
          <w:color w:val="auto"/>
          <w:sz w:val="32"/>
          <w:szCs w:val="32"/>
          <w:highlight w:val="none"/>
          <w:u w:val="none" w:color="auto"/>
          <w:lang w:val="en-US" w:eastAsia="zh-CN"/>
        </w:rPr>
        <w:t>，处理规模为15m</w:t>
      </w:r>
      <w:r>
        <w:rPr>
          <w:rFonts w:hint="eastAsia" w:ascii="仿宋" w:hAnsi="仿宋" w:eastAsia="仿宋" w:cs="仿宋"/>
          <w:strike w:val="0"/>
          <w:dstrike w:val="0"/>
          <w:color w:val="auto"/>
          <w:sz w:val="32"/>
          <w:szCs w:val="32"/>
          <w:highlight w:val="none"/>
          <w:u w:val="none" w:color="auto"/>
          <w:vertAlign w:val="superscript"/>
          <w:lang w:val="en-US" w:eastAsia="zh-CN"/>
        </w:rPr>
        <w:t>3</w:t>
      </w:r>
      <w:r>
        <w:rPr>
          <w:rFonts w:hint="eastAsia" w:ascii="仿宋" w:hAnsi="仿宋" w:eastAsia="仿宋" w:cs="仿宋"/>
          <w:strike w:val="0"/>
          <w:dstrike w:val="0"/>
          <w:color w:val="auto"/>
          <w:sz w:val="32"/>
          <w:szCs w:val="32"/>
          <w:highlight w:val="none"/>
          <w:u w:val="none" w:color="auto"/>
          <w:lang w:val="en-US" w:eastAsia="zh-CN"/>
        </w:rPr>
        <w:t>/d。项目是保</w:t>
      </w:r>
      <w:r>
        <w:rPr>
          <w:rFonts w:hint="eastAsia" w:ascii="仿宋" w:hAnsi="仿宋" w:eastAsia="仿宋" w:cs="仿宋"/>
          <w:sz w:val="32"/>
          <w:szCs w:val="32"/>
          <w:lang w:val="en-US" w:eastAsia="zh-CN"/>
        </w:rPr>
        <w:t>障靖宇镇居民牛羊肉供应而设立的小型畜禽屠宰场点。</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sz w:val="32"/>
          <w:szCs w:val="32"/>
          <w:lang w:val="en-US" w:eastAsia="zh-CN"/>
        </w:rPr>
        <w:t>项目符合《吉林省畜禽屠宰管理条例》</w:t>
      </w:r>
      <w:r>
        <w:rPr>
          <w:rFonts w:hint="eastAsia" w:ascii="仿宋_GB2312" w:hAnsi="仿宋_GB2312" w:eastAsia="仿宋_GB2312" w:cs="仿宋_GB2312"/>
          <w:sz w:val="32"/>
          <w:szCs w:val="32"/>
          <w:lang w:val="en-US" w:eastAsia="zh-CN"/>
        </w:rPr>
        <w:t>和生态环境分区管控的相关要求。项目在全面落实《报告表》结论及专家评审意见提出的各项环保措施后，做到各污染物达标排放，项目建设对环境的不利影响能够得到缓解和控制。因此，从环境保护角度分析，我局原则同意《报告表》中所列建设项目的性质、规模、工艺、地点和拟采取的环境保护措施。</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项目建设中应重点做好</w:t>
      </w:r>
      <w:r>
        <w:rPr>
          <w:rFonts w:hint="eastAsia" w:ascii="仿宋" w:hAnsi="仿宋" w:eastAsia="仿宋" w:cs="仿宋"/>
          <w:b/>
          <w:bCs/>
          <w:sz w:val="32"/>
          <w:szCs w:val="32"/>
          <w:lang w:eastAsia="zh-CN"/>
        </w:rPr>
        <w:t>以下</w:t>
      </w:r>
      <w:r>
        <w:rPr>
          <w:rFonts w:hint="eastAsia" w:ascii="仿宋" w:hAnsi="仿宋" w:eastAsia="仿宋" w:cs="仿宋"/>
          <w:b/>
          <w:bCs/>
          <w:sz w:val="32"/>
          <w:szCs w:val="32"/>
        </w:rPr>
        <w:t>环保工作</w:t>
      </w:r>
    </w:p>
    <w:p>
      <w:pPr>
        <w:ind w:firstLine="420" w:firstLineChars="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（一）加强施工期环境管理和污染防治</w:t>
      </w:r>
    </w:p>
    <w:p>
      <w:pPr>
        <w:ind w:firstLine="42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项目施工期主要产生施工人员生活污水、施工扬尘、噪声、施工垃圾和生活垃圾等，需严格落实《报告表》提出的施工期环境保护措施，合理安排施工时间，采取合理施工方式，控制施工过程中产生的废气、废水、噪声、固体废物等，做到各污染达标排放，最大限度降低对周围环境的不利影响。</w:t>
      </w:r>
    </w:p>
    <w:p>
      <w:pPr>
        <w:ind w:firstLine="420" w:firstLineChars="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（二）严格落实各项水污染防治措施</w:t>
      </w:r>
    </w:p>
    <w:p>
      <w:pPr>
        <w:ind w:firstLine="420" w:firstLineChars="0"/>
        <w:rPr>
          <w:rFonts w:hint="eastAsia" w:ascii="仿宋" w:hAnsi="仿宋" w:eastAsia="仿宋" w:cs="仿宋"/>
          <w:sz w:val="32"/>
          <w:szCs w:val="32"/>
        </w:rPr>
      </w:pPr>
      <w:r>
        <w:rPr>
          <w:rFonts w:hint="eastAsia" w:ascii="仿宋" w:hAnsi="仿宋" w:eastAsia="仿宋" w:cs="仿宋"/>
          <w:sz w:val="32"/>
          <w:szCs w:val="32"/>
        </w:rPr>
        <w:t>本项目</w:t>
      </w:r>
      <w:r>
        <w:rPr>
          <w:rFonts w:hint="eastAsia" w:ascii="仿宋" w:hAnsi="仿宋" w:eastAsia="仿宋" w:cs="仿宋"/>
          <w:sz w:val="32"/>
          <w:szCs w:val="32"/>
          <w:lang w:val="en-US" w:eastAsia="zh-CN"/>
        </w:rPr>
        <w:t>废水主要为屠宰废水和生活污水。屠宰废水经厂区污水站处理后，暂存于污水储池内，定期清抽至靖宇县污水处理厂；生活污水排入防渗旱厕，定期清抽外运做农家肥。</w:t>
      </w:r>
    </w:p>
    <w:p>
      <w:pPr>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lang w:val="en-US" w:eastAsia="zh-CN"/>
        </w:rPr>
        <w:t>三）严格落实各项大气污染防治措施</w:t>
      </w:r>
    </w:p>
    <w:p>
      <w:pPr>
        <w:ind w:firstLine="42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本项目废气主要为屠宰过程中产生的废气、污水处理站废气、待宰圈粪便废气和牛羊胃肠内容物贮存废气。屠宰车间设置集气管道，采用活性炭吸附装置对屠宰过程废气进行吸附，经15 m高排气筒排放；厂区内每日喷洒一次污水专用植物性除臭剂去除污水处理过程中产生的废气；待宰圈</w:t>
      </w:r>
      <w:bookmarkStart w:id="3" w:name="OLE_LINK3"/>
      <w:r>
        <w:rPr>
          <w:rFonts w:hint="eastAsia" w:ascii="仿宋" w:hAnsi="仿宋" w:eastAsia="仿宋" w:cs="仿宋"/>
          <w:sz w:val="32"/>
          <w:szCs w:val="32"/>
          <w:lang w:val="en-US" w:eastAsia="zh-CN"/>
        </w:rPr>
        <w:t>粪便</w:t>
      </w:r>
      <w:bookmarkEnd w:id="3"/>
      <w:r>
        <w:rPr>
          <w:rFonts w:hint="eastAsia" w:ascii="仿宋" w:hAnsi="仿宋" w:eastAsia="仿宋" w:cs="仿宋"/>
          <w:sz w:val="32"/>
          <w:szCs w:val="32"/>
          <w:lang w:val="en-US" w:eastAsia="zh-CN"/>
        </w:rPr>
        <w:t>日产日清，严禁长期堆存，待宰圈定期喷洒除臭剂；牛羊胃肠内容物收集至带盖桶内每日外运做农家肥，禁止在厂区内长期堆存。</w:t>
      </w:r>
    </w:p>
    <w:p>
      <w:pPr>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lang w:val="en-US" w:eastAsia="zh-CN"/>
        </w:rPr>
        <w:t xml:space="preserve"> （四）严格落实各项噪声污染防治措施</w:t>
      </w:r>
    </w:p>
    <w:p>
      <w:pPr>
        <w:ind w:firstLine="42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本项目主要噪声源为风机、电锯、水泵等运行时产生的设备噪声。通过选用低噪声设备、安装减震设施、合理布置设备等措施，厂界噪声可满足《工业企业厂界环境噪声排放标准》（GB12348-2008）中3类标准要求。</w:t>
      </w:r>
    </w:p>
    <w:p>
      <w:pPr>
        <w:ind w:firstLine="420" w:firstLineChars="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（五）严格落实固体废物分类处理污染防治措施</w:t>
      </w:r>
    </w:p>
    <w:p>
      <w:pPr>
        <w:ind w:firstLine="42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项目固体废物主要包括生活垃圾、污水站污泥、待宰圈粪便、胃肠内容物、检疫不合格牛羊、检疫不合格胴体、牛羊蹄壳、屠宰下脚料、废油脂及废活性炭。产生的各类固体废物应按照国家及行业相关标准要求，分类妥善处理、处置。生活垃圾暂存于垃圾箱，由环卫部门统一处理；污水站污泥暂存于污泥储池内，定期由当地农户外运做农家肥处理；待宰圈粪便每天由当地农户运走做农家肥处理；牛羊胃肠内容物暂存于带盖桶内，专人负责、日产日清，由当地农户运走做农家肥处理；检疫不合格牛羊、检疫不合格胴体由靖宇县畜牧兽医管理总站统一送白山市病死畜禽无害化处理中心处理；牛羊蹄壳、屠宰下脚料暂存于一般固废存储区，外卖骨胶厂综合利用；废油脂委托有资质的单位清运处理；废活性炭属于危险废物，袋装密封暂存于危废间内，定期委托有资质单位处理，危险废物贮存、转移等须满足</w:t>
      </w:r>
      <w:bookmarkStart w:id="4" w:name="OLE_LINK5"/>
      <w:r>
        <w:rPr>
          <w:rFonts w:hint="eastAsia" w:ascii="仿宋" w:hAnsi="仿宋" w:eastAsia="仿宋" w:cs="仿宋"/>
          <w:sz w:val="32"/>
          <w:szCs w:val="32"/>
          <w:lang w:val="en-US" w:eastAsia="zh-CN"/>
        </w:rPr>
        <w:t>《危险废物贮存污染控制标准》</w:t>
      </w:r>
      <w:bookmarkEnd w:id="4"/>
      <w:r>
        <w:rPr>
          <w:rFonts w:hint="eastAsia" w:ascii="仿宋" w:hAnsi="仿宋" w:eastAsia="仿宋" w:cs="仿宋"/>
          <w:sz w:val="32"/>
          <w:szCs w:val="32"/>
          <w:lang w:val="en-US" w:eastAsia="zh-CN"/>
        </w:rPr>
        <w:t>（GB18597-2023）和《危险废物转移管理办法》的要求。</w:t>
      </w:r>
    </w:p>
    <w:p>
      <w:pPr>
        <w:rPr>
          <w:rFonts w:hint="eastAsia" w:ascii="仿宋" w:hAnsi="仿宋" w:eastAsia="仿宋" w:cs="仿宋"/>
          <w:b w:val="0"/>
          <w:bCs w:val="0"/>
          <w:i w:val="0"/>
          <w:iCs w:val="0"/>
          <w:sz w:val="32"/>
          <w:szCs w:val="32"/>
          <w:lang w:val="en-US" w:eastAsia="zh-CN"/>
        </w:rPr>
      </w:pPr>
      <w:r>
        <w:rPr>
          <w:rFonts w:hint="eastAsia" w:ascii="仿宋" w:hAnsi="仿宋" w:eastAsia="仿宋" w:cs="仿宋"/>
          <w:b w:val="0"/>
          <w:bCs w:val="0"/>
          <w:i w:val="0"/>
          <w:iCs w:val="0"/>
          <w:sz w:val="32"/>
          <w:szCs w:val="32"/>
          <w:lang w:val="en-US" w:eastAsia="zh-CN"/>
        </w:rPr>
        <w:t xml:space="preserve"> </w:t>
      </w:r>
      <w:r>
        <w:rPr>
          <w:rFonts w:hint="eastAsia" w:ascii="仿宋" w:hAnsi="仿宋" w:eastAsia="仿宋" w:cs="仿宋"/>
          <w:b/>
          <w:bCs/>
          <w:i w:val="0"/>
          <w:iCs w:val="0"/>
          <w:sz w:val="32"/>
          <w:szCs w:val="32"/>
          <w:lang w:val="en-US" w:eastAsia="zh-CN"/>
        </w:rPr>
        <w:t xml:space="preserve">  （六）严格落实地下水和土壤污染防治措施</w:t>
      </w:r>
    </w:p>
    <w:p>
      <w:pPr>
        <w:ind w:firstLine="42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源头控制、分区防渗”相结合的原则，合理利用水资源，禁止废水外排。严格按相关标准要求落实废水处理池体、污泥贮池、污水管线沿线、危废暂存间、屠宰车间等区域的防渗措施，避免对地下水、土壤造成污染。</w:t>
      </w:r>
    </w:p>
    <w:p>
      <w:pPr>
        <w:ind w:left="420" w:leftChars="0" w:firstLine="420" w:firstLineChars="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三、严格落实环境风险防范措施</w:t>
      </w:r>
    </w:p>
    <w:p>
      <w:pPr>
        <w:ind w:firstLine="42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鉴于本项目在运营过程中存在一定环境风险，你单位需落实各项风险防范措施，定期检查防渗完整性，厂区内设置事故应急池，防止环境风险事故的发生。</w:t>
      </w:r>
    </w:p>
    <w:p>
      <w:pPr>
        <w:ind w:left="420" w:leftChars="0" w:firstLine="420" w:firstLineChars="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四、严格落实排污许可制度</w:t>
      </w:r>
    </w:p>
    <w:p>
      <w:pPr>
        <w:ind w:firstLine="42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项目运行排放污染物前，依据《固定污染源排污许可分类管理名录》要求，申请排污许可证（含重点、简化、登记)，不得无证排污。</w:t>
      </w:r>
    </w:p>
    <w:p>
      <w:pPr>
        <w:ind w:left="420" w:leftChars="0" w:firstLine="420" w:firstLineChars="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五、严格落实“三同时”制度</w:t>
      </w:r>
    </w:p>
    <w:p>
      <w:pPr>
        <w:numPr>
          <w:ilvl w:val="0"/>
          <w:numId w:val="0"/>
        </w:numPr>
        <w:ind w:firstLine="42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项目建设必须严格执行环境保护设施与主体工程同时设计、同时施工、同时投产使用的环境保护“三同时”制度。项目竣工后，须按规定程序自主开展竣工环境保护验收，验收合格后方可正式投入运行。</w:t>
      </w:r>
    </w:p>
    <w:p>
      <w:pPr>
        <w:numPr>
          <w:ilvl w:val="0"/>
          <w:numId w:val="0"/>
        </w:numPr>
        <w:ind w:left="420" w:leftChars="0" w:firstLine="420" w:firstLineChars="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六、监督管理</w:t>
      </w:r>
    </w:p>
    <w:p>
      <w:pPr>
        <w:numPr>
          <w:ilvl w:val="0"/>
          <w:numId w:val="0"/>
        </w:numPr>
        <w:ind w:firstLine="42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靖宇县生态环境保护综合行政执法大队负责项目施工期和运营期的日常环境监管工作。</w:t>
      </w:r>
    </w:p>
    <w:p>
      <w:pPr>
        <w:numPr>
          <w:ilvl w:val="0"/>
          <w:numId w:val="1"/>
        </w:numPr>
        <w:ind w:left="420" w:leftChars="0" w:firstLine="420" w:firstLineChars="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其他事项</w:t>
      </w:r>
    </w:p>
    <w:p>
      <w:pPr>
        <w:numPr>
          <w:ilvl w:val="0"/>
          <w:numId w:val="0"/>
        </w:numPr>
        <w:ind w:firstLine="42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评报告表经批准后，建设项目的性质、规模、地点、采用的生产工艺或者防治污染、防止生态破坏的措施发生重大变动的，应当依法重新报批环评文件。依法须经批准的其他事项，应由相关部门批准后，方可开工建设或投入运营。</w:t>
      </w: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ind w:left="4620" w:leftChars="0" w:firstLine="420" w:firstLineChars="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2026年7月21</w:t>
      </w:r>
      <w:bookmarkStart w:id="5" w:name="_GoBack"/>
      <w:bookmarkEnd w:id="5"/>
      <w:r>
        <w:rPr>
          <w:rFonts w:hint="eastAsia" w:ascii="仿宋" w:hAnsi="仿宋" w:eastAsia="仿宋" w:cs="仿宋"/>
          <w:sz w:val="32"/>
          <w:szCs w:val="32"/>
          <w:lang w:val="en-US" w:eastAsia="zh-CN"/>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5199FC"/>
    <w:multiLevelType w:val="singleLevel"/>
    <w:tmpl w:val="1D5199FC"/>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2YWI5M2IzZDQ2OGZiMDhiYWUyMjYyZTNhY2Y4YjEifQ=="/>
  </w:docVars>
  <w:rsids>
    <w:rsidRoot w:val="598E218F"/>
    <w:rsid w:val="06935222"/>
    <w:rsid w:val="0C743400"/>
    <w:rsid w:val="0EA0228A"/>
    <w:rsid w:val="0EA54EED"/>
    <w:rsid w:val="126307C1"/>
    <w:rsid w:val="12FC58B1"/>
    <w:rsid w:val="16F57BBA"/>
    <w:rsid w:val="19D11E91"/>
    <w:rsid w:val="1CAF6F51"/>
    <w:rsid w:val="220A6852"/>
    <w:rsid w:val="25A80CB2"/>
    <w:rsid w:val="26457BC8"/>
    <w:rsid w:val="30CE43AC"/>
    <w:rsid w:val="34F678C3"/>
    <w:rsid w:val="37C16D85"/>
    <w:rsid w:val="3E38233A"/>
    <w:rsid w:val="47AC213C"/>
    <w:rsid w:val="51B25897"/>
    <w:rsid w:val="534F2B43"/>
    <w:rsid w:val="53946493"/>
    <w:rsid w:val="541E2156"/>
    <w:rsid w:val="56D877DB"/>
    <w:rsid w:val="598E218F"/>
    <w:rsid w:val="5EBB05F2"/>
    <w:rsid w:val="640920D6"/>
    <w:rsid w:val="690757FD"/>
    <w:rsid w:val="79786DA9"/>
    <w:rsid w:val="79A25548"/>
    <w:rsid w:val="7B0F7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snapToGrid w:val="0"/>
      <w:spacing w:before="60" w:after="160" w:line="259" w:lineRule="auto"/>
      <w:ind w:right="113"/>
    </w:pPr>
    <w:rPr>
      <w:kern w:val="0"/>
      <w:sz w:val="18"/>
      <w:szCs w:val="2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2046</Words>
  <Characters>2118</Characters>
  <Lines>0</Lines>
  <Paragraphs>0</Paragraphs>
  <TotalTime>17</TotalTime>
  <ScaleCrop>false</ScaleCrop>
  <LinksUpToDate>false</LinksUpToDate>
  <CharactersWithSpaces>2131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2026-07-16T00:52:00Z</dcterms:created>
  <dc:creator>Administrator</dc:creator>
  <cp:lastModifiedBy>Administrator</cp:lastModifiedBy>
  <dcterms:modified xsi:type="dcterms:W3CDTF">2026-07-21T01:19:21Z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B9F2DC51047C4A5C9CDAC91CB7CE2362_11</vt:lpwstr>
  </property>
</Properties>
</file>