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contextualSpacing/>
        <w:rPr>
          <w:rFonts w:hint="eastAsia" w:ascii="仿宋_GB2312" w:hAnsi="仿宋_GB2312" w:eastAsia="仿宋_GB2312" w:cs="仿宋_GB2312"/>
          <w:kern w:val="0"/>
          <w:sz w:val="32"/>
          <w:szCs w:val="32"/>
        </w:rPr>
      </w:pPr>
      <w:bookmarkStart w:id="0" w:name="_GoBack"/>
      <w:bookmarkEnd w:id="0"/>
      <w:r>
        <w:rPr>
          <w:rFonts w:hint="eastAsia" w:ascii="仿宋_GB2312" w:hAnsi="仿宋_GB2312" w:eastAsia="仿宋_GB2312" w:cs="仿宋_GB2312"/>
          <w:kern w:val="0"/>
          <w:sz w:val="32"/>
          <w:szCs w:val="32"/>
        </w:rPr>
        <w:t>附件3</w:t>
      </w:r>
    </w:p>
    <w:p>
      <w:pPr>
        <w:widowControl/>
        <w:ind w:firstLine="641"/>
        <w:contextualSpacing/>
        <w:jc w:val="center"/>
        <w:rPr>
          <w:rFonts w:ascii="宋体" w:hAnsi="宋体" w:eastAsia="宋体" w:cs="宋体"/>
          <w:kern w:val="0"/>
          <w:sz w:val="24"/>
          <w:szCs w:val="24"/>
        </w:rPr>
      </w:pPr>
      <w:r>
        <w:rPr>
          <w:rFonts w:hint="eastAsia" w:ascii="宋体" w:hAnsi="宋体" w:eastAsia="宋体" w:cs="宋体"/>
          <w:b/>
          <w:bCs/>
          <w:kern w:val="0"/>
          <w:sz w:val="44"/>
          <w:szCs w:val="44"/>
        </w:rPr>
        <w:t>托幼机构新冠肺炎疫情防控技术方案</w:t>
      </w:r>
    </w:p>
    <w:p>
      <w:pPr>
        <w:widowControl/>
        <w:ind w:firstLine="641"/>
        <w:contextualSpacing/>
        <w:jc w:val="center"/>
        <w:rPr>
          <w:rFonts w:ascii="宋体" w:hAnsi="宋体" w:eastAsia="宋体" w:cs="宋体"/>
          <w:kern w:val="0"/>
          <w:sz w:val="24"/>
          <w:szCs w:val="24"/>
        </w:rPr>
      </w:pPr>
      <w:r>
        <w:rPr>
          <w:rFonts w:hint="eastAsia" w:ascii="宋体" w:hAnsi="宋体" w:eastAsia="宋体" w:cs="宋体"/>
          <w:b/>
          <w:bCs/>
          <w:kern w:val="0"/>
          <w:sz w:val="44"/>
          <w:szCs w:val="44"/>
        </w:rPr>
        <w:t>（第五版）</w:t>
      </w:r>
    </w:p>
    <w:p>
      <w:pPr>
        <w:widowControl/>
        <w:ind w:firstLine="640"/>
        <w:contextualSpacing/>
        <w:rPr>
          <w:rFonts w:ascii="宋体" w:hAnsi="宋体" w:eastAsia="宋体" w:cs="宋体"/>
          <w:kern w:val="0"/>
          <w:sz w:val="24"/>
          <w:szCs w:val="24"/>
        </w:rPr>
      </w:pPr>
      <w:r>
        <w:rPr>
          <w:rFonts w:hint="eastAsia" w:ascii="宋体" w:hAnsi="宋体" w:eastAsia="宋体" w:cs="宋体"/>
          <w:kern w:val="0"/>
          <w:sz w:val="24"/>
          <w:szCs w:val="24"/>
        </w:rPr>
        <w:t> </w:t>
      </w:r>
    </w:p>
    <w:p>
      <w:pPr>
        <w:widowControl/>
        <w:adjustRightInd w:val="0"/>
        <w:snapToGrid w:val="0"/>
        <w:spacing w:line="560" w:lineRule="exact"/>
        <w:ind w:firstLine="640"/>
        <w:contextualSpacing/>
        <w:rPr>
          <w:rFonts w:ascii="宋体" w:hAnsi="宋体" w:eastAsia="宋体" w:cs="宋体"/>
          <w:kern w:val="0"/>
          <w:sz w:val="32"/>
          <w:szCs w:val="32"/>
        </w:rPr>
      </w:pPr>
      <w:r>
        <w:rPr>
          <w:rFonts w:hint="eastAsia" w:ascii="仿宋_GB2312" w:hAnsi="宋体" w:eastAsia="仿宋_GB2312" w:cs="宋体"/>
          <w:kern w:val="0"/>
          <w:sz w:val="32"/>
          <w:szCs w:val="32"/>
        </w:rPr>
        <w:t>为指导托幼机构做好新冠肺炎疫情防控工作，压实托幼机构防控主体责任，有序落实常态化防控与应急处置措施，根据新型冠状病毒肺炎防控方案和当前疫情形势需要，对《托幼机构新冠肺炎疫情防控技术方案（第四版）》进行修订，形成本版方案。</w:t>
      </w:r>
    </w:p>
    <w:p>
      <w:pPr>
        <w:widowControl/>
        <w:adjustRightInd w:val="0"/>
        <w:snapToGrid w:val="0"/>
        <w:spacing w:line="560" w:lineRule="exact"/>
        <w:ind w:left="638" w:leftChars="304"/>
        <w:contextualSpacing/>
        <w:rPr>
          <w:rFonts w:hint="eastAsia" w:ascii="黑体" w:hAnsi="黑体" w:eastAsia="黑体" w:cs="宋体"/>
          <w:kern w:val="0"/>
          <w:sz w:val="32"/>
          <w:szCs w:val="32"/>
          <w:lang w:eastAsia="zh-CN"/>
        </w:rPr>
      </w:pPr>
      <w:r>
        <w:rPr>
          <w:rFonts w:hint="eastAsia" w:ascii="黑体" w:hAnsi="黑体" w:eastAsia="黑体" w:cs="宋体"/>
          <w:kern w:val="0"/>
          <w:sz w:val="32"/>
          <w:szCs w:val="32"/>
        </w:rPr>
        <w:t>一、开园准备</w:t>
      </w:r>
    </w:p>
    <w:p>
      <w:pPr>
        <w:widowControl/>
        <w:adjustRightInd w:val="0"/>
        <w:snapToGrid w:val="0"/>
        <w:spacing w:line="560" w:lineRule="exact"/>
        <w:ind w:left="638" w:leftChars="304"/>
        <w:contextualSpacing/>
        <w:rPr>
          <w:rFonts w:ascii="楷体_GB2312" w:hAnsi="楷体" w:eastAsia="楷体_GB2312" w:cs="宋体"/>
          <w:kern w:val="0"/>
          <w:sz w:val="32"/>
          <w:szCs w:val="32"/>
        </w:rPr>
      </w:pPr>
      <w:r>
        <w:rPr>
          <w:rFonts w:hint="eastAsia" w:ascii="楷体_GB2312" w:hAnsi="楷体" w:eastAsia="楷体_GB2312" w:cs="宋体"/>
          <w:kern w:val="0"/>
          <w:sz w:val="32"/>
          <w:szCs w:val="32"/>
        </w:rPr>
        <w:t>（一）托幼机构的准备。</w:t>
      </w:r>
    </w:p>
    <w:p>
      <w:pPr>
        <w:widowControl/>
        <w:adjustRightInd w:val="0"/>
        <w:snapToGrid w:val="0"/>
        <w:spacing w:line="560" w:lineRule="exact"/>
        <w:ind w:firstLine="640"/>
        <w:contextualSpacing/>
        <w:rPr>
          <w:rFonts w:ascii="宋体" w:hAnsi="宋体" w:eastAsia="宋体" w:cs="宋体"/>
          <w:kern w:val="0"/>
          <w:sz w:val="32"/>
          <w:szCs w:val="32"/>
        </w:rPr>
      </w:pPr>
      <w:r>
        <w:rPr>
          <w:rFonts w:hint="eastAsia" w:ascii="仿宋_GB2312" w:hAnsi="宋体" w:eastAsia="仿宋_GB2312" w:cs="宋体"/>
          <w:b/>
          <w:bCs/>
          <w:kern w:val="0"/>
          <w:sz w:val="32"/>
          <w:szCs w:val="32"/>
        </w:rPr>
        <w:t>1.重视开园准备。</w:t>
      </w:r>
      <w:r>
        <w:rPr>
          <w:rFonts w:hint="eastAsia" w:ascii="仿宋_GB2312" w:hAnsi="楷体" w:eastAsia="仿宋_GB2312" w:cs="宋体"/>
          <w:kern w:val="0"/>
          <w:sz w:val="32"/>
          <w:szCs w:val="32"/>
        </w:rPr>
        <w:t>各级</w:t>
      </w:r>
      <w:r>
        <w:rPr>
          <w:rFonts w:hint="eastAsia" w:ascii="仿宋_GB2312" w:hAnsi="宋体" w:eastAsia="仿宋_GB2312" w:cs="宋体"/>
          <w:kern w:val="0"/>
          <w:sz w:val="32"/>
          <w:szCs w:val="32"/>
        </w:rPr>
        <w:t>教育行政部门和托幼机构要切实增强疫情防控意识，根据疫情形势和所在地疫情防控相关政策要求，做好新冠肺炎和常见传染病预防工作，进一步落实和完善“两案九制”，做到妥善有序开园。</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2.落实多方责任。</w:t>
      </w:r>
      <w:r>
        <w:rPr>
          <w:rFonts w:hint="eastAsia" w:ascii="仿宋_GB2312" w:hAnsi="宋体" w:eastAsia="仿宋_GB2312" w:cs="宋体"/>
          <w:kern w:val="0"/>
          <w:sz w:val="32"/>
          <w:szCs w:val="32"/>
        </w:rPr>
        <w:t>严格落实属地责任、部门责任、单位责任、家庭和个人责任。托幼机构负责人是本单位疫情防控第一责任人，开园前须制定完善的疫情防控工作方案和应急预案，明确工作职责，细化实化各项防控措施，对全体教职员工开展防控知识与技能培训。</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3.坚持联防联控。</w:t>
      </w:r>
      <w:r>
        <w:rPr>
          <w:rFonts w:hint="eastAsia" w:ascii="仿宋_GB2312" w:hAnsi="宋体" w:eastAsia="仿宋_GB2312" w:cs="宋体"/>
          <w:kern w:val="0"/>
          <w:sz w:val="32"/>
          <w:szCs w:val="32"/>
        </w:rPr>
        <w:t>在卫生健康、教育行政部门指导下，托幼机构应加强与疾控机构、就近定点医疗机构、辖区妇幼保健机构、社区卫生服务机构的沟通协调，进一步完善教育、卫生健康、托幼机构和家庭“点对点”协作机制、监测预警与快速反应机制，确保开园前托幼机构疫情防控业务指导、巡查和培训全覆盖。</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4.加强应急演练。</w:t>
      </w:r>
      <w:r>
        <w:rPr>
          <w:rFonts w:hint="eastAsia" w:ascii="仿宋_GB2312" w:hAnsi="宋体" w:eastAsia="仿宋_GB2312" w:cs="宋体"/>
          <w:kern w:val="0"/>
          <w:sz w:val="32"/>
          <w:szCs w:val="32"/>
        </w:rPr>
        <w:t>开园前，托幼机构与属地医疗机构、疾控机构、公安机关等做好对接，根据疫情形势，进一步完善应急预案，健全防范和处理机制，做到“点对点”“人对人”。针对性开展疫情防控多场景、实操性应急演练，确保一旦发生疫情，迅速激活疫情防控应急指挥体系，各环节快速响应和应急措施到位，及时有效应对突发情况。</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5.做好物资储备。</w:t>
      </w:r>
      <w:r>
        <w:rPr>
          <w:rFonts w:hint="eastAsia" w:ascii="仿宋_GB2312" w:hAnsi="宋体" w:eastAsia="仿宋_GB2312" w:cs="宋体"/>
          <w:kern w:val="0"/>
          <w:sz w:val="32"/>
          <w:szCs w:val="32"/>
        </w:rPr>
        <w:t>做好儿童和成人口罩、洗手液、手消毒剂、消毒用品、非接触式测温设备等防疫物资的储备，专人管理，确保存放安全。设置足够数量的盥洗设施，配备足量的洗手用品。按照标准设立观察室或临时隔离室，安排专人负责。</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6.加强环境消毒。</w:t>
      </w:r>
      <w:r>
        <w:rPr>
          <w:rFonts w:hint="eastAsia" w:ascii="仿宋_GB2312" w:hAnsi="宋体" w:eastAsia="仿宋_GB2312" w:cs="宋体"/>
          <w:kern w:val="0"/>
          <w:sz w:val="32"/>
          <w:szCs w:val="32"/>
        </w:rPr>
        <w:t>落实环境卫生和清洁消毒管理制度，专人负责园内全面清洁消毒工作。开园前应对园内重点场所、公共用具和空调通风系统进行彻底清洁消毒，做好垃圾清理，对户外大型玩具、门把手等物体表面进行预防性消毒，对活动室、睡眠室、盥洗室、洗手间等各类生活、保育场所开窗通风。</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7.保障饮食饮水安全。</w:t>
      </w:r>
      <w:r>
        <w:rPr>
          <w:rFonts w:hint="eastAsia" w:ascii="仿宋_GB2312" w:hAnsi="宋体" w:eastAsia="仿宋_GB2312" w:cs="宋体"/>
          <w:kern w:val="0"/>
          <w:sz w:val="32"/>
          <w:szCs w:val="32"/>
        </w:rPr>
        <w:t>落实《教育部办公厅 市场监管总局办公厅 国家卫生健康委办公厅关于加强学校食堂卫生安全与营养健康管理工作的通知》（教体艺厅函〔2021〕38号）要求，开园前对托幼机构食堂及饮用水设备设施进行彻底检查和清洁消毒，所有饮用水设备设施均应取得行业监测、检测合格资质，确保饮用水安全，及时更换陈旧、已经损坏的设备。检查食堂食品原材料有无过期变质，发现有问题的食品原料要立即销毁。开园前，对食堂员工进行一次全面健康检查，持证上岗。</w:t>
      </w:r>
    </w:p>
    <w:p>
      <w:pPr>
        <w:widowControl/>
        <w:adjustRightInd w:val="0"/>
        <w:snapToGrid w:val="0"/>
        <w:spacing w:line="560" w:lineRule="exact"/>
        <w:ind w:firstLine="640"/>
        <w:contextualSpacing/>
        <w:rPr>
          <w:rFonts w:ascii="楷体_GB2312" w:hAnsi="宋体" w:eastAsia="楷体_GB2312" w:cs="宋体"/>
          <w:kern w:val="0"/>
          <w:sz w:val="32"/>
          <w:szCs w:val="32"/>
        </w:rPr>
      </w:pPr>
      <w:r>
        <w:rPr>
          <w:rFonts w:hint="eastAsia" w:ascii="楷体_GB2312" w:hAnsi="楷体" w:eastAsia="楷体_GB2312" w:cs="宋体"/>
          <w:kern w:val="0"/>
          <w:sz w:val="32"/>
          <w:szCs w:val="32"/>
        </w:rPr>
        <w:t>（二）教职员工、家长和幼儿的准备。</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8.报备健康状况。</w:t>
      </w:r>
      <w:r>
        <w:rPr>
          <w:rFonts w:hint="eastAsia" w:ascii="仿宋_GB2312" w:hAnsi="宋体" w:eastAsia="仿宋_GB2312" w:cs="宋体"/>
          <w:kern w:val="0"/>
          <w:sz w:val="32"/>
          <w:szCs w:val="32"/>
        </w:rPr>
        <w:t>按照当地防疫规定要求，所有教职员工和幼儿及其共同生活居住人员在开园前14天开展健康监测和旅居史报告，并如实上报园方，配合园方做好开园返园的健康监测。对有疑似症状的，应当及时就医，暂缓返园。</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9.保持社交距离。</w:t>
      </w:r>
      <w:r>
        <w:rPr>
          <w:rFonts w:hint="eastAsia" w:ascii="仿宋_GB2312" w:hAnsi="宋体" w:eastAsia="仿宋_GB2312" w:cs="宋体"/>
          <w:kern w:val="0"/>
          <w:sz w:val="32"/>
          <w:szCs w:val="32"/>
        </w:rPr>
        <w:t>开园前14天，家长做好幼儿看护和防护物资准备，减少人员来访，避免到人群聚集尤其是空气流动性差的场所，前往公共场所应佩戴口罩。</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10.做好新冠病毒疫苗接种</w:t>
      </w:r>
      <w:r>
        <w:rPr>
          <w:rFonts w:hint="eastAsia" w:ascii="仿宋_GB2312" w:hAnsi="宋体" w:eastAsia="仿宋_GB2312" w:cs="宋体"/>
          <w:kern w:val="0"/>
          <w:sz w:val="32"/>
          <w:szCs w:val="32"/>
        </w:rPr>
        <w:t>。加大疫苗接种宣传引导力度，加强托幼机构工作人员疫苗接种，坚持知情、同意、自愿原则，鼓励3岁以上适龄无接种禁忌人群应接尽接。</w:t>
      </w:r>
    </w:p>
    <w:p>
      <w:pPr>
        <w:widowControl/>
        <w:adjustRightInd w:val="0"/>
        <w:snapToGrid w:val="0"/>
        <w:spacing w:line="560" w:lineRule="exact"/>
        <w:ind w:firstLine="642"/>
        <w:contextualSpacing/>
        <w:rPr>
          <w:rFonts w:ascii="宋体" w:hAnsi="宋体" w:eastAsia="宋体" w:cs="宋体"/>
          <w:kern w:val="0"/>
          <w:sz w:val="32"/>
          <w:szCs w:val="32"/>
        </w:rPr>
      </w:pPr>
      <w:r>
        <w:rPr>
          <w:rFonts w:hint="eastAsia" w:ascii="仿宋_GB2312" w:hAnsi="宋体" w:eastAsia="仿宋_GB2312" w:cs="宋体"/>
          <w:b/>
          <w:bCs/>
          <w:kern w:val="0"/>
          <w:sz w:val="32"/>
          <w:szCs w:val="32"/>
        </w:rPr>
        <w:t>11.落实返园要求。</w:t>
      </w:r>
      <w:r>
        <w:rPr>
          <w:rFonts w:hint="eastAsia" w:ascii="仿宋_GB2312" w:hAnsi="宋体" w:eastAsia="仿宋_GB2312" w:cs="宋体"/>
          <w:kern w:val="0"/>
          <w:sz w:val="32"/>
          <w:szCs w:val="32"/>
        </w:rPr>
        <w:t>低风险地区教职员工和幼儿经园方审核健康状况符合当地疫情防控要求后即可返园。严格落实属地对从境外、中高风险地区返园或其他特殊情况教职员工和幼儿的健康管理要求，返园前须提供48小时内核酸检测阴性证明。</w:t>
      </w:r>
    </w:p>
    <w:p>
      <w:pPr>
        <w:widowControl/>
        <w:adjustRightInd w:val="0"/>
        <w:snapToGrid w:val="0"/>
        <w:spacing w:line="560" w:lineRule="exact"/>
        <w:ind w:firstLine="640" w:firstLineChars="200"/>
        <w:contextualSpacing/>
        <w:rPr>
          <w:rFonts w:ascii="宋体" w:hAnsi="宋体" w:eastAsia="宋体" w:cs="宋体"/>
          <w:kern w:val="0"/>
          <w:sz w:val="32"/>
          <w:szCs w:val="32"/>
        </w:rPr>
      </w:pPr>
      <w:r>
        <w:rPr>
          <w:rFonts w:hint="eastAsia" w:ascii="黑体" w:hAnsi="黑体" w:eastAsia="黑体" w:cs="宋体"/>
          <w:kern w:val="0"/>
          <w:sz w:val="32"/>
          <w:szCs w:val="32"/>
        </w:rPr>
        <w:t>二、开园后</w:t>
      </w:r>
    </w:p>
    <w:p>
      <w:pPr>
        <w:widowControl/>
        <w:adjustRightInd w:val="0"/>
        <w:snapToGrid w:val="0"/>
        <w:spacing w:line="560" w:lineRule="exact"/>
        <w:ind w:firstLine="640"/>
        <w:contextualSpacing/>
        <w:rPr>
          <w:rFonts w:ascii="宋体" w:hAnsi="宋体" w:eastAsia="宋体" w:cs="宋体"/>
          <w:kern w:val="0"/>
          <w:sz w:val="32"/>
          <w:szCs w:val="32"/>
        </w:rPr>
      </w:pPr>
      <w:r>
        <w:rPr>
          <w:rFonts w:hint="eastAsia" w:ascii="楷体" w:hAnsi="楷体" w:eastAsia="楷体" w:cs="宋体"/>
          <w:kern w:val="0"/>
          <w:sz w:val="32"/>
          <w:szCs w:val="32"/>
        </w:rPr>
        <w:t>（一）托幼机构管理要求。</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1.重视入园排查</w:t>
      </w:r>
      <w:r>
        <w:rPr>
          <w:rFonts w:hint="eastAsia" w:ascii="仿宋_GB2312" w:hAnsi="宋体" w:eastAsia="仿宋_GB2312" w:cs="宋体"/>
          <w:kern w:val="0"/>
          <w:sz w:val="32"/>
          <w:szCs w:val="32"/>
        </w:rPr>
        <w:t>。动态精准掌握教职员工和幼儿健康状况，做好健康监测。教职员工和幼儿每天在入园处须测体温，无疑似症状方可入园，出现疑似症状者，应及时就医。安排家长错峰接送幼儿，在园门口设置1米线，配备工作人员疏导人流，防止出现园门口人群聚集。家长接送幼儿不入园，全程佩戴口罩、保持社交距离。</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2.加强园门管理</w:t>
      </w:r>
      <w:r>
        <w:rPr>
          <w:rFonts w:hint="eastAsia" w:ascii="仿宋_GB2312" w:hAnsi="宋体" w:eastAsia="仿宋_GB2312" w:cs="宋体"/>
          <w:kern w:val="0"/>
          <w:sz w:val="32"/>
          <w:szCs w:val="32"/>
        </w:rPr>
        <w:t>。托幼机构实行园内相对封闭管理，无关人员一律不准进园。在入园处对所有人员进行体温检测、查验健康码和行程卡，做好登记、扫码，并佩戴口罩入内。如出现疑似症状，不能入园，应及时就医。</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3.做好监测预警。</w:t>
      </w:r>
      <w:r>
        <w:rPr>
          <w:rFonts w:hint="eastAsia" w:ascii="仿宋_GB2312" w:hAnsi="宋体" w:eastAsia="仿宋_GB2312" w:cs="宋体"/>
          <w:kern w:val="0"/>
          <w:sz w:val="32"/>
          <w:szCs w:val="32"/>
        </w:rPr>
        <w:t>在当地应对疫情联防联控机制（领导小组、指挥部）的支持和保障下，定期组织师生员工开展核酸抽检，对安保、保洁、食堂等园内工作人员加强健康管理和增加核酸检测频次。严格落实幼儿早、中、晚“一日三报告”制度和点名制度，实行“日报告”“零报告”制度。做好缺勤、早退、病假记录，发现因病缺勤的教职员工和幼儿需及时追访、登记和上报。进行晨午检时，工作人员应当佩戴口罩、帽子和一次性手套，并做好手卫生。</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4.加强场所管理。</w:t>
      </w:r>
      <w:r>
        <w:rPr>
          <w:rFonts w:hint="eastAsia" w:ascii="仿宋_GB2312" w:hAnsi="宋体" w:eastAsia="仿宋_GB2312" w:cs="宋体"/>
          <w:kern w:val="0"/>
          <w:sz w:val="32"/>
          <w:szCs w:val="32"/>
        </w:rPr>
        <w:t>加强活动室、睡眠室、盥洗室、食堂、办公室、医务室、卫生间等重点场所的管理和消毒，定时通风换气，定期对空调通风系统进行清洗消毒，增加水龙头、门把手、楼梯扶手、床围栏、玩具、娱乐设施、儿童个人用品等高频接触物体表面的清洁消毒频次。做好垃圾分类收集、及时清运，并做好垃圾盛装容器的清洁消毒。门卫室设置快递专用区域，快递人员不入园。</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5.加强活动管理。</w:t>
      </w:r>
      <w:r>
        <w:rPr>
          <w:rFonts w:hint="eastAsia" w:ascii="仿宋_GB2312" w:hAnsi="宋体" w:eastAsia="仿宋_GB2312" w:cs="宋体"/>
          <w:kern w:val="0"/>
          <w:sz w:val="32"/>
          <w:szCs w:val="32"/>
        </w:rPr>
        <w:t>教师、保育员等要相对固定，减少在不同群体间流动重叠。要根据疫情形势、国家和属地疫情防控政策，从严控制开展儿童聚集性活动，不组织大型聚集性活动。</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6.确保膳食营养卫生。</w:t>
      </w:r>
      <w:r>
        <w:rPr>
          <w:rFonts w:hint="eastAsia" w:ascii="仿宋_GB2312" w:hAnsi="宋体" w:eastAsia="仿宋_GB2312" w:cs="宋体"/>
          <w:kern w:val="0"/>
          <w:sz w:val="32"/>
          <w:szCs w:val="32"/>
        </w:rPr>
        <w:t>加强饮食饮水卫生管理，严格执行食品进货查验记录制度，严控进货渠道，食品等原料从正规渠道采购，保证来源可追溯。依据幼儿生长发育特点，每日提供充足的新鲜果蔬和奶制品，适量的鱼、禽、肉、蛋类食物，保证食物种类多样。</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7.开展健康教育。</w:t>
      </w:r>
      <w:r>
        <w:rPr>
          <w:rFonts w:hint="eastAsia" w:ascii="仿宋_GB2312" w:hAnsi="宋体" w:eastAsia="仿宋_GB2312" w:cs="宋体"/>
          <w:kern w:val="0"/>
          <w:sz w:val="32"/>
          <w:szCs w:val="32"/>
        </w:rPr>
        <w:t>通过多种形式面向教职员工、家长和幼儿开展新冠肺炎和诺如病毒感染性腹泻、肺结核、流感、麻疹、水痘、腮腺炎、手足口病、细菌性痢疾等传染病预防知识的宣传教育。教会幼儿正确的洗手方法，打喷嚏和咳嗽时用纸巾或肘臂遮挡口鼻，培养幼儿养成良好卫生习惯。</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8.做好疫苗接种查验补漏工作。</w:t>
      </w:r>
      <w:r>
        <w:rPr>
          <w:rFonts w:hint="eastAsia" w:ascii="仿宋_GB2312" w:hAnsi="宋体" w:eastAsia="仿宋_GB2312" w:cs="宋体"/>
          <w:kern w:val="0"/>
          <w:sz w:val="32"/>
          <w:szCs w:val="32"/>
        </w:rPr>
        <w:t>配合相关部门逐一查验幼儿国家免疫规划疫苗接种情况，发现漏种，及时告知补种。</w:t>
      </w:r>
    </w:p>
    <w:p>
      <w:pPr>
        <w:widowControl/>
        <w:adjustRightInd w:val="0"/>
        <w:snapToGrid w:val="0"/>
        <w:spacing w:line="560" w:lineRule="exact"/>
        <w:ind w:firstLine="640"/>
        <w:contextualSpacing/>
        <w:rPr>
          <w:rFonts w:ascii="宋体" w:hAnsi="宋体" w:eastAsia="宋体" w:cs="宋体"/>
          <w:kern w:val="0"/>
          <w:sz w:val="32"/>
          <w:szCs w:val="32"/>
        </w:rPr>
      </w:pPr>
      <w:r>
        <w:rPr>
          <w:rFonts w:hint="eastAsia" w:ascii="楷体" w:hAnsi="楷体" w:eastAsia="楷体" w:cs="宋体"/>
          <w:kern w:val="0"/>
          <w:sz w:val="32"/>
          <w:szCs w:val="32"/>
        </w:rPr>
        <w:t>（二）教职员工、家长和幼儿管理要求。</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9.落实家校协同。</w:t>
      </w:r>
      <w:r>
        <w:rPr>
          <w:rFonts w:hint="eastAsia" w:ascii="仿宋_GB2312" w:hAnsi="宋体" w:eastAsia="仿宋_GB2312" w:cs="宋体"/>
          <w:kern w:val="0"/>
          <w:sz w:val="32"/>
          <w:szCs w:val="32"/>
        </w:rPr>
        <w:t>教职工应每日与幼儿家长保持沟通，家长每日应如实向班主任报告幼儿及其共同生活居住人员健康状况和风险接触信息，如有疑似症状，要及时上报就诊。</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10.保持手部卫生。</w:t>
      </w:r>
      <w:r>
        <w:rPr>
          <w:rFonts w:hint="eastAsia" w:ascii="仿宋_GB2312" w:hAnsi="宋体" w:eastAsia="仿宋_GB2312" w:cs="宋体"/>
          <w:kern w:val="0"/>
          <w:sz w:val="32"/>
          <w:szCs w:val="32"/>
        </w:rPr>
        <w:t>教职员工和家长应引导幼儿尽量不用手接触口眼鼻、勤洗手，做好手卫生行为宣教。</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11.积极参加锻炼。</w:t>
      </w:r>
      <w:r>
        <w:rPr>
          <w:rFonts w:hint="eastAsia" w:ascii="仿宋_GB2312" w:hAnsi="宋体" w:eastAsia="仿宋_GB2312" w:cs="宋体"/>
          <w:kern w:val="0"/>
          <w:sz w:val="32"/>
          <w:szCs w:val="32"/>
        </w:rPr>
        <w:t>根据幼儿年龄特点，安排内容和形式适宜的体格锻炼，每日2小时以上的户外活动，3岁以上幼儿至少1小时的中等及以上强度身体活动。</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12.落实个人防护。</w:t>
      </w:r>
      <w:r>
        <w:rPr>
          <w:rFonts w:hint="eastAsia" w:ascii="仿宋_GB2312" w:hAnsi="宋体" w:eastAsia="仿宋_GB2312" w:cs="宋体"/>
          <w:kern w:val="0"/>
          <w:sz w:val="32"/>
          <w:szCs w:val="32"/>
        </w:rPr>
        <w:t>托幼机构值守人员、保洁人员和食堂工作人员等在工作期间，应当全程佩戴医用外科口罩或以上级别口罩，做好手卫生。保洁人员、食堂工作人员在工作期间还应当戴一次性手套，穿工作服、戴工作帽并保持清洁、定期洗涤与消毒。幼儿在园期间可不佩戴口罩。幼儿离园期间，家长做好幼儿看护，避免到人群聚集尤其是空气流动性差的场所，在园外公共场所需要佩戴口罩，做好个人防护。</w:t>
      </w:r>
    </w:p>
    <w:p>
      <w:pPr>
        <w:widowControl/>
        <w:adjustRightInd w:val="0"/>
        <w:snapToGrid w:val="0"/>
        <w:spacing w:line="560" w:lineRule="exact"/>
        <w:ind w:firstLine="643"/>
        <w:contextualSpacing/>
        <w:rPr>
          <w:rFonts w:ascii="宋体" w:hAnsi="宋体" w:eastAsia="宋体" w:cs="宋体"/>
          <w:kern w:val="0"/>
          <w:sz w:val="32"/>
          <w:szCs w:val="32"/>
        </w:rPr>
      </w:pPr>
      <w:r>
        <w:rPr>
          <w:rFonts w:hint="eastAsia" w:ascii="仿宋_GB2312" w:hAnsi="宋体" w:eastAsia="仿宋_GB2312" w:cs="宋体"/>
          <w:b/>
          <w:bCs/>
          <w:kern w:val="0"/>
          <w:sz w:val="32"/>
          <w:szCs w:val="32"/>
        </w:rPr>
        <w:t>13.加强近视防控。</w:t>
      </w:r>
      <w:r>
        <w:rPr>
          <w:rFonts w:hint="eastAsia" w:ascii="仿宋_GB2312" w:hAnsi="宋体" w:eastAsia="仿宋_GB2312" w:cs="宋体"/>
          <w:kern w:val="0"/>
          <w:sz w:val="32"/>
          <w:szCs w:val="32"/>
        </w:rPr>
        <w:t>引导幼儿养成科学用眼习惯，保障充分户外活动，严格控制视频时间。平衡营养膳食，合理安排作息，确保充足睡眠时间，提高机体免疫力。</w:t>
      </w:r>
    </w:p>
    <w:p>
      <w:pPr>
        <w:widowControl/>
        <w:adjustRightInd w:val="0"/>
        <w:snapToGrid w:val="0"/>
        <w:spacing w:line="560" w:lineRule="exact"/>
        <w:ind w:firstLine="642"/>
        <w:contextualSpacing/>
        <w:rPr>
          <w:rFonts w:ascii="宋体" w:hAnsi="宋体" w:eastAsia="宋体" w:cs="宋体"/>
          <w:kern w:val="0"/>
          <w:sz w:val="32"/>
          <w:szCs w:val="32"/>
        </w:rPr>
      </w:pPr>
      <w:r>
        <w:rPr>
          <w:rFonts w:hint="eastAsia" w:ascii="黑体" w:hAnsi="黑体" w:eastAsia="黑体" w:cs="宋体"/>
          <w:kern w:val="0"/>
          <w:sz w:val="32"/>
          <w:szCs w:val="32"/>
        </w:rPr>
        <w:t>三、疫情监测与应急处置</w:t>
      </w:r>
    </w:p>
    <w:p>
      <w:pPr>
        <w:widowControl/>
        <w:adjustRightInd w:val="0"/>
        <w:snapToGrid w:val="0"/>
        <w:spacing w:line="560" w:lineRule="exact"/>
        <w:ind w:firstLine="640"/>
        <w:contextualSpacing/>
        <w:rPr>
          <w:rFonts w:ascii="宋体" w:hAnsi="宋体" w:eastAsia="宋体" w:cs="宋体"/>
          <w:kern w:val="0"/>
          <w:sz w:val="32"/>
          <w:szCs w:val="32"/>
        </w:rPr>
      </w:pPr>
      <w:r>
        <w:rPr>
          <w:rFonts w:hint="eastAsia" w:ascii="楷体_GB2312" w:hAnsi="宋体" w:eastAsia="楷体_GB2312" w:cs="宋体"/>
          <w:kern w:val="0"/>
          <w:sz w:val="32"/>
          <w:szCs w:val="32"/>
        </w:rPr>
        <w:t>（一）关注疫情变化。</w:t>
      </w:r>
      <w:r>
        <w:rPr>
          <w:rFonts w:hint="eastAsia" w:ascii="仿宋_GB2312" w:hAnsi="宋体" w:eastAsia="仿宋_GB2312" w:cs="宋体"/>
          <w:kern w:val="0"/>
          <w:sz w:val="32"/>
          <w:szCs w:val="32"/>
        </w:rPr>
        <w:t>及时关注托幼机构所在辖区、全国其他地区疫情形势变化。一旦所在地区发生本土疫情或新冠肺炎疫情风险等级发生变化，应严格执行当地疫情防控有关要求，立即激活疫情防控应急指挥体系，果断采取应急处置措施。</w:t>
      </w:r>
    </w:p>
    <w:p>
      <w:pPr>
        <w:widowControl/>
        <w:adjustRightInd w:val="0"/>
        <w:snapToGrid w:val="0"/>
        <w:spacing w:line="560" w:lineRule="exact"/>
        <w:ind w:firstLine="640"/>
        <w:contextualSpacing/>
        <w:rPr>
          <w:rFonts w:ascii="宋体" w:hAnsi="宋体" w:eastAsia="宋体" w:cs="宋体"/>
          <w:kern w:val="0"/>
          <w:sz w:val="32"/>
          <w:szCs w:val="32"/>
        </w:rPr>
      </w:pPr>
      <w:r>
        <w:rPr>
          <w:rFonts w:hint="eastAsia" w:ascii="楷体_GB2312" w:hAnsi="宋体" w:eastAsia="楷体_GB2312" w:cs="宋体"/>
          <w:kern w:val="0"/>
          <w:sz w:val="32"/>
          <w:szCs w:val="32"/>
        </w:rPr>
        <w:t>（二）强化监测预警。</w:t>
      </w:r>
      <w:r>
        <w:rPr>
          <w:rFonts w:hint="eastAsia" w:ascii="仿宋_GB2312" w:hAnsi="宋体" w:eastAsia="仿宋_GB2312" w:cs="宋体"/>
          <w:kern w:val="0"/>
          <w:sz w:val="32"/>
          <w:szCs w:val="32"/>
        </w:rPr>
        <w:t>托幼机构在做好常态化疫情防控工作基础上，严格实施师生员工健康监测、体温检测、晨午晚检和因病缺课（勤）病因追查与登记等措施，执行“日报告”“零报告”制度。入园前，教职员工、幼儿及其共同生活居住人员如出现疑似症状，应当立即报告，采取居家观察、就医排查或隔离措施。在园期间，教职员工和幼儿如出现疑似症状，教职员工应立即停止上岗，及时通知幼儿家长带离，严格按照“点对点”协作机制有关规定及时到定点医疗机构就医，托幼机构做好就医结果追踪登记工作。</w:t>
      </w:r>
    </w:p>
    <w:p>
      <w:pPr>
        <w:widowControl/>
        <w:adjustRightInd w:val="0"/>
        <w:snapToGrid w:val="0"/>
        <w:spacing w:line="560" w:lineRule="exact"/>
        <w:ind w:firstLine="640"/>
        <w:contextualSpacing/>
        <w:rPr>
          <w:rFonts w:ascii="宋体" w:hAnsi="宋体" w:eastAsia="宋体" w:cs="宋体"/>
          <w:kern w:val="0"/>
          <w:sz w:val="32"/>
          <w:szCs w:val="32"/>
        </w:rPr>
      </w:pPr>
      <w:r>
        <w:rPr>
          <w:rFonts w:hint="eastAsia" w:ascii="仿宋_GB2312" w:hAnsi="宋体" w:eastAsia="仿宋_GB2312" w:cs="宋体"/>
          <w:kern w:val="0"/>
          <w:sz w:val="32"/>
          <w:szCs w:val="32"/>
        </w:rPr>
        <w:t>一旦托幼机构所在县（市、区、旗）发生疫情，要根据疫情扩散风险加密核酸检测频次，提高师生核酸检测抽检比例，推广使用抗原检测。期间园内食堂工作人员、保洁人员、园（楼）门值守人员等工作人员每周开展核酸检测，可适当增加抗原检测。若出现抗原检测阳性者，无论是否出现发热或呼吸道等症状，均需按照新冠肺炎疫情相关人员转运工作指南的要求，由急救中心转运至有发热门诊的医疗机构，进行核酸检测。</w:t>
      </w:r>
    </w:p>
    <w:p>
      <w:pPr>
        <w:widowControl/>
        <w:adjustRightInd w:val="0"/>
        <w:snapToGrid w:val="0"/>
        <w:spacing w:line="560" w:lineRule="exact"/>
        <w:ind w:firstLine="640"/>
        <w:contextualSpacing/>
        <w:rPr>
          <w:rFonts w:ascii="宋体" w:hAnsi="宋体" w:eastAsia="宋体" w:cs="宋体"/>
          <w:kern w:val="0"/>
          <w:sz w:val="32"/>
          <w:szCs w:val="32"/>
        </w:rPr>
      </w:pPr>
      <w:r>
        <w:rPr>
          <w:rFonts w:hint="eastAsia" w:ascii="楷体_GB2312" w:hAnsi="宋体" w:eastAsia="楷体_GB2312" w:cs="宋体"/>
          <w:kern w:val="0"/>
          <w:sz w:val="32"/>
          <w:szCs w:val="32"/>
        </w:rPr>
        <w:t>（三）快速处置疫情。</w:t>
      </w:r>
      <w:r>
        <w:rPr>
          <w:rFonts w:hint="eastAsia" w:ascii="仿宋_GB2312" w:hAnsi="宋体" w:eastAsia="仿宋_GB2312" w:cs="宋体"/>
          <w:kern w:val="0"/>
          <w:sz w:val="32"/>
          <w:szCs w:val="32"/>
        </w:rPr>
        <w:t>如教职员工和幼儿及其共同生活居住人员有新冠肺炎确诊病例、无症状感染者、疑似病例或密切接触者，托幼机构应当立即启动应急处置机制，在2小时内向辖区疾控机构报告，在属地卫生健康部门、疾控机构指导下，采取封闭管理、全员核酸检测和暂缓返园等处置措施。</w:t>
      </w:r>
    </w:p>
    <w:p>
      <w:pPr>
        <w:widowControl/>
        <w:adjustRightInd w:val="0"/>
        <w:snapToGrid w:val="0"/>
        <w:spacing w:line="560" w:lineRule="exact"/>
        <w:ind w:firstLine="640"/>
        <w:contextualSpacing/>
        <w:rPr>
          <w:rFonts w:ascii="宋体" w:hAnsi="宋体" w:eastAsia="宋体" w:cs="宋体"/>
          <w:kern w:val="0"/>
          <w:sz w:val="32"/>
          <w:szCs w:val="32"/>
        </w:rPr>
      </w:pPr>
      <w:r>
        <w:rPr>
          <w:rFonts w:hint="eastAsia" w:ascii="仿宋_GB2312" w:hAnsi="宋体" w:eastAsia="仿宋_GB2312" w:cs="宋体"/>
          <w:kern w:val="0"/>
          <w:sz w:val="32"/>
          <w:szCs w:val="32"/>
        </w:rPr>
        <w:t>托幼机构出现疫情后，要按照新型冠状病毒肺炎防控方案，配合疾控机构做好传染源控制和管理，按照属地化原则配合疾控机构开展快速全面的流行病学调查和疫情分析研判，根据病例轨迹和流调信息，科学、精准划定风险区域与风险人员。托幼机构配合疾控机构等部门做好划定区域和风险场所的先管控、再摸排，有序组织落实风险人员的转运、隔离管控、核酸检测、健康监测等措施，根据受污染的状况和风险采取相应的环境和物体表面的预防性消毒、随时消毒和终末消毒，并做好园内垃圾、粪便、污水的收集和无害化处理。</w:t>
      </w:r>
    </w:p>
    <w:p>
      <w:pPr>
        <w:widowControl/>
        <w:adjustRightInd w:val="0"/>
        <w:snapToGrid w:val="0"/>
        <w:spacing w:line="560" w:lineRule="exact"/>
        <w:ind w:firstLine="640"/>
        <w:contextualSpacing/>
        <w:rPr>
          <w:rFonts w:ascii="宋体" w:hAnsi="宋体" w:eastAsia="宋体" w:cs="宋体"/>
          <w:kern w:val="0"/>
          <w:sz w:val="32"/>
          <w:szCs w:val="32"/>
        </w:rPr>
      </w:pPr>
      <w:r>
        <w:rPr>
          <w:rFonts w:hint="eastAsia" w:ascii="仿宋_GB2312" w:hAnsi="宋体" w:eastAsia="仿宋_GB2312" w:cs="宋体"/>
          <w:kern w:val="0"/>
          <w:sz w:val="32"/>
          <w:szCs w:val="32"/>
        </w:rPr>
        <w:t>托幼机构要安排专人与接受医学隔离的教职员工、家长或幼儿进行联系沟通，掌握其每日健康状况。教职员工、幼儿病愈后返园需提交当地具备资质的医疗机构开具的相关证明。</w:t>
      </w:r>
    </w:p>
    <w:p>
      <w:pPr>
        <w:widowControl/>
        <w:adjustRightInd w:val="0"/>
        <w:snapToGrid w:val="0"/>
        <w:spacing w:line="560" w:lineRule="exact"/>
        <w:ind w:firstLine="640"/>
        <w:contextualSpacing/>
      </w:pPr>
      <w:r>
        <w:rPr>
          <w:rFonts w:hint="eastAsia" w:ascii="楷体_GB2312" w:hAnsi="宋体" w:eastAsia="楷体_GB2312" w:cs="宋体"/>
          <w:kern w:val="0"/>
          <w:sz w:val="32"/>
          <w:szCs w:val="32"/>
        </w:rPr>
        <w:t>（四）做好卫生保障。</w:t>
      </w:r>
      <w:r>
        <w:rPr>
          <w:rFonts w:hint="eastAsia" w:ascii="仿宋_GB2312" w:hAnsi="宋体" w:eastAsia="仿宋_GB2312" w:cs="宋体"/>
          <w:kern w:val="0"/>
          <w:sz w:val="32"/>
          <w:szCs w:val="32"/>
        </w:rPr>
        <w:t>各地要加强对托幼机构疫情防控工作的督导检查和责任落实，认真排查辖区托幼机构疫情防控措施落实情况，对检查中发现的问题要立行立改，及时跟踪整改到位。托幼机构要加强应急处置保障，对师生员工做到排查、管控、督导、宣教、关爱“五个到位”，妥善解决师生员工学习、工作、生活中的实际困难，及时回应合理诉求和关切，在防疫提醒、生活和防疫物资、医疗保障、心理疏导等方面给予支持。</w:t>
      </w:r>
    </w:p>
    <w:p>
      <w:pPr>
        <w:widowControl/>
        <w:spacing w:line="360" w:lineRule="auto"/>
        <w:ind w:right="6"/>
        <w:contextualSpacing/>
        <w:rPr>
          <w:rFonts w:ascii="黑体" w:hAnsi="黑体" w:eastAsia="黑体"/>
          <w:sz w:val="32"/>
          <w:szCs w:val="32"/>
        </w:rPr>
      </w:pPr>
    </w:p>
    <w:sectPr>
      <w:footerReference r:id="rId3" w:type="default"/>
      <w:pgSz w:w="11906" w:h="16838"/>
      <w:pgMar w:top="2098" w:right="1474" w:bottom="1985"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0199266"/>
    </w:sdtPr>
    <w:sdtEndPr>
      <w:rPr>
        <w:rFonts w:ascii="宋体" w:hAnsi="宋体" w:eastAsia="宋体"/>
        <w:sz w:val="24"/>
        <w:szCs w:val="24"/>
      </w:rPr>
    </w:sdtEndPr>
    <w:sdtContent>
      <w:p>
        <w:pPr>
          <w:pStyle w:val="5"/>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29 -</w:t>
        </w:r>
        <w:r>
          <w:rPr>
            <w:rFonts w:ascii="宋体" w:hAnsi="宋体" w:eastAsia="宋体"/>
            <w:sz w:val="24"/>
            <w:szCs w:val="24"/>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MGUyYzRjYmJiYmE2YzQ0ZTY3ZTY5MDU5NTk2MmYifQ=="/>
  </w:docVars>
  <w:rsids>
    <w:rsidRoot w:val="00096EA2"/>
    <w:rsid w:val="000068C4"/>
    <w:rsid w:val="00011F26"/>
    <w:rsid w:val="000129B6"/>
    <w:rsid w:val="000167E0"/>
    <w:rsid w:val="00034D68"/>
    <w:rsid w:val="0004674A"/>
    <w:rsid w:val="00046CD1"/>
    <w:rsid w:val="00051FB2"/>
    <w:rsid w:val="00052DBE"/>
    <w:rsid w:val="00056282"/>
    <w:rsid w:val="00061953"/>
    <w:rsid w:val="000660E9"/>
    <w:rsid w:val="00070C23"/>
    <w:rsid w:val="00090855"/>
    <w:rsid w:val="0009160B"/>
    <w:rsid w:val="00096EA2"/>
    <w:rsid w:val="000A0B32"/>
    <w:rsid w:val="000A47E5"/>
    <w:rsid w:val="000A6773"/>
    <w:rsid w:val="000B2EE6"/>
    <w:rsid w:val="000B3F1A"/>
    <w:rsid w:val="000B66E1"/>
    <w:rsid w:val="000C0134"/>
    <w:rsid w:val="000E02F3"/>
    <w:rsid w:val="000E258D"/>
    <w:rsid w:val="000F2D65"/>
    <w:rsid w:val="00102DF6"/>
    <w:rsid w:val="00121706"/>
    <w:rsid w:val="0012277A"/>
    <w:rsid w:val="001448A7"/>
    <w:rsid w:val="001458D3"/>
    <w:rsid w:val="0015327D"/>
    <w:rsid w:val="00157803"/>
    <w:rsid w:val="00160EB1"/>
    <w:rsid w:val="00164EAE"/>
    <w:rsid w:val="00172C04"/>
    <w:rsid w:val="0017528D"/>
    <w:rsid w:val="00175AA3"/>
    <w:rsid w:val="00177A90"/>
    <w:rsid w:val="00183E45"/>
    <w:rsid w:val="00187560"/>
    <w:rsid w:val="001A0276"/>
    <w:rsid w:val="001C1EE4"/>
    <w:rsid w:val="001C5C84"/>
    <w:rsid w:val="001C5E85"/>
    <w:rsid w:val="001C64C5"/>
    <w:rsid w:val="001D11A0"/>
    <w:rsid w:val="001E7FF5"/>
    <w:rsid w:val="0020076E"/>
    <w:rsid w:val="00205542"/>
    <w:rsid w:val="002125B3"/>
    <w:rsid w:val="00214EDD"/>
    <w:rsid w:val="00227CF9"/>
    <w:rsid w:val="00230D13"/>
    <w:rsid w:val="0024555C"/>
    <w:rsid w:val="00245D1A"/>
    <w:rsid w:val="00245F59"/>
    <w:rsid w:val="002475E7"/>
    <w:rsid w:val="0026509C"/>
    <w:rsid w:val="0026721C"/>
    <w:rsid w:val="00274055"/>
    <w:rsid w:val="002906BE"/>
    <w:rsid w:val="002A303A"/>
    <w:rsid w:val="002A62E6"/>
    <w:rsid w:val="002A66B7"/>
    <w:rsid w:val="002A7378"/>
    <w:rsid w:val="002B1D66"/>
    <w:rsid w:val="002B4F1B"/>
    <w:rsid w:val="002B60EA"/>
    <w:rsid w:val="002C5597"/>
    <w:rsid w:val="002D018A"/>
    <w:rsid w:val="002D2D41"/>
    <w:rsid w:val="002D7639"/>
    <w:rsid w:val="002E162B"/>
    <w:rsid w:val="002E43EA"/>
    <w:rsid w:val="002E4728"/>
    <w:rsid w:val="002F01FC"/>
    <w:rsid w:val="002F59CC"/>
    <w:rsid w:val="002F699D"/>
    <w:rsid w:val="002F6D35"/>
    <w:rsid w:val="002F747C"/>
    <w:rsid w:val="003130BD"/>
    <w:rsid w:val="00322028"/>
    <w:rsid w:val="003240BC"/>
    <w:rsid w:val="00331E71"/>
    <w:rsid w:val="00334877"/>
    <w:rsid w:val="0033648E"/>
    <w:rsid w:val="003364C3"/>
    <w:rsid w:val="003378D4"/>
    <w:rsid w:val="00341C6E"/>
    <w:rsid w:val="003422E5"/>
    <w:rsid w:val="00345F73"/>
    <w:rsid w:val="00347856"/>
    <w:rsid w:val="0035163B"/>
    <w:rsid w:val="003516B8"/>
    <w:rsid w:val="00354C76"/>
    <w:rsid w:val="0036103F"/>
    <w:rsid w:val="003701B5"/>
    <w:rsid w:val="00370783"/>
    <w:rsid w:val="003717C8"/>
    <w:rsid w:val="003806BB"/>
    <w:rsid w:val="003878A7"/>
    <w:rsid w:val="00390588"/>
    <w:rsid w:val="003929CD"/>
    <w:rsid w:val="00392A99"/>
    <w:rsid w:val="003B432A"/>
    <w:rsid w:val="003C3DD1"/>
    <w:rsid w:val="003C4AEB"/>
    <w:rsid w:val="003C5C12"/>
    <w:rsid w:val="003D48C9"/>
    <w:rsid w:val="003D67DE"/>
    <w:rsid w:val="003E0248"/>
    <w:rsid w:val="003E0C42"/>
    <w:rsid w:val="003E6081"/>
    <w:rsid w:val="003F17E3"/>
    <w:rsid w:val="003F321A"/>
    <w:rsid w:val="003F6173"/>
    <w:rsid w:val="003F662F"/>
    <w:rsid w:val="003F6D33"/>
    <w:rsid w:val="004016E1"/>
    <w:rsid w:val="00403224"/>
    <w:rsid w:val="00405B3B"/>
    <w:rsid w:val="00405D48"/>
    <w:rsid w:val="0040657E"/>
    <w:rsid w:val="00411B60"/>
    <w:rsid w:val="00411BFA"/>
    <w:rsid w:val="0041630A"/>
    <w:rsid w:val="004163B0"/>
    <w:rsid w:val="00430200"/>
    <w:rsid w:val="00434C97"/>
    <w:rsid w:val="00435BF3"/>
    <w:rsid w:val="00446719"/>
    <w:rsid w:val="00451533"/>
    <w:rsid w:val="00454276"/>
    <w:rsid w:val="00457588"/>
    <w:rsid w:val="00457C69"/>
    <w:rsid w:val="00462AFC"/>
    <w:rsid w:val="004650F6"/>
    <w:rsid w:val="0047132C"/>
    <w:rsid w:val="00482147"/>
    <w:rsid w:val="004846FD"/>
    <w:rsid w:val="00485BAB"/>
    <w:rsid w:val="00486701"/>
    <w:rsid w:val="0049077D"/>
    <w:rsid w:val="00491330"/>
    <w:rsid w:val="0049355B"/>
    <w:rsid w:val="004978F5"/>
    <w:rsid w:val="004A13DA"/>
    <w:rsid w:val="004B0FD2"/>
    <w:rsid w:val="004B1F64"/>
    <w:rsid w:val="004B23FF"/>
    <w:rsid w:val="004B27F3"/>
    <w:rsid w:val="004C48DF"/>
    <w:rsid w:val="004C5FDB"/>
    <w:rsid w:val="004D0430"/>
    <w:rsid w:val="004D3AB2"/>
    <w:rsid w:val="004D4A66"/>
    <w:rsid w:val="004E1535"/>
    <w:rsid w:val="004E191F"/>
    <w:rsid w:val="004E5212"/>
    <w:rsid w:val="004F3BE7"/>
    <w:rsid w:val="00510484"/>
    <w:rsid w:val="005157D7"/>
    <w:rsid w:val="00516E2B"/>
    <w:rsid w:val="0052165B"/>
    <w:rsid w:val="00521E7F"/>
    <w:rsid w:val="00526D2A"/>
    <w:rsid w:val="00527379"/>
    <w:rsid w:val="00527752"/>
    <w:rsid w:val="00545FC2"/>
    <w:rsid w:val="005509FA"/>
    <w:rsid w:val="0055440D"/>
    <w:rsid w:val="005570F7"/>
    <w:rsid w:val="0055791B"/>
    <w:rsid w:val="005709EA"/>
    <w:rsid w:val="00573FDF"/>
    <w:rsid w:val="005762F7"/>
    <w:rsid w:val="00585C53"/>
    <w:rsid w:val="005B06B3"/>
    <w:rsid w:val="005B3393"/>
    <w:rsid w:val="005B4989"/>
    <w:rsid w:val="005B553A"/>
    <w:rsid w:val="005C716C"/>
    <w:rsid w:val="005C7219"/>
    <w:rsid w:val="005D1691"/>
    <w:rsid w:val="005D22AB"/>
    <w:rsid w:val="005D5058"/>
    <w:rsid w:val="005E0362"/>
    <w:rsid w:val="005E12C6"/>
    <w:rsid w:val="005E2B21"/>
    <w:rsid w:val="005E4D1C"/>
    <w:rsid w:val="005E4E93"/>
    <w:rsid w:val="005F4FF3"/>
    <w:rsid w:val="005F7CAC"/>
    <w:rsid w:val="006038AD"/>
    <w:rsid w:val="0061307E"/>
    <w:rsid w:val="0062464E"/>
    <w:rsid w:val="00625A20"/>
    <w:rsid w:val="006263A6"/>
    <w:rsid w:val="00626689"/>
    <w:rsid w:val="00630BCD"/>
    <w:rsid w:val="00632D58"/>
    <w:rsid w:val="00636004"/>
    <w:rsid w:val="0064136A"/>
    <w:rsid w:val="00643A27"/>
    <w:rsid w:val="00646C66"/>
    <w:rsid w:val="0065045A"/>
    <w:rsid w:val="00655787"/>
    <w:rsid w:val="006606BB"/>
    <w:rsid w:val="006667A4"/>
    <w:rsid w:val="00672E77"/>
    <w:rsid w:val="00674700"/>
    <w:rsid w:val="0067705E"/>
    <w:rsid w:val="00690E02"/>
    <w:rsid w:val="006939E2"/>
    <w:rsid w:val="00696337"/>
    <w:rsid w:val="006A3DEC"/>
    <w:rsid w:val="006B435B"/>
    <w:rsid w:val="006C01D1"/>
    <w:rsid w:val="006D0305"/>
    <w:rsid w:val="006D1C7F"/>
    <w:rsid w:val="006D3A28"/>
    <w:rsid w:val="006D41D8"/>
    <w:rsid w:val="006D51E5"/>
    <w:rsid w:val="006E00F9"/>
    <w:rsid w:val="006E07AD"/>
    <w:rsid w:val="006E2A67"/>
    <w:rsid w:val="006F2725"/>
    <w:rsid w:val="006F3ACB"/>
    <w:rsid w:val="006F4692"/>
    <w:rsid w:val="00700615"/>
    <w:rsid w:val="00700C31"/>
    <w:rsid w:val="00701D55"/>
    <w:rsid w:val="00701E15"/>
    <w:rsid w:val="00701E8B"/>
    <w:rsid w:val="007155B6"/>
    <w:rsid w:val="00720555"/>
    <w:rsid w:val="00725C27"/>
    <w:rsid w:val="00733D1F"/>
    <w:rsid w:val="007352DE"/>
    <w:rsid w:val="00741BE8"/>
    <w:rsid w:val="00742D92"/>
    <w:rsid w:val="00753B80"/>
    <w:rsid w:val="00756214"/>
    <w:rsid w:val="00760254"/>
    <w:rsid w:val="0076374A"/>
    <w:rsid w:val="007639FF"/>
    <w:rsid w:val="00770E8D"/>
    <w:rsid w:val="0077197C"/>
    <w:rsid w:val="0077209F"/>
    <w:rsid w:val="007747ED"/>
    <w:rsid w:val="00786522"/>
    <w:rsid w:val="007907C8"/>
    <w:rsid w:val="007953C5"/>
    <w:rsid w:val="00796F63"/>
    <w:rsid w:val="00797545"/>
    <w:rsid w:val="00797A4E"/>
    <w:rsid w:val="007A0EF4"/>
    <w:rsid w:val="007A1DAC"/>
    <w:rsid w:val="007A45AF"/>
    <w:rsid w:val="007A7470"/>
    <w:rsid w:val="007B018A"/>
    <w:rsid w:val="007B0DB3"/>
    <w:rsid w:val="007B1EFC"/>
    <w:rsid w:val="007B2AC9"/>
    <w:rsid w:val="007C1479"/>
    <w:rsid w:val="007C2A9E"/>
    <w:rsid w:val="007C72A2"/>
    <w:rsid w:val="007D1025"/>
    <w:rsid w:val="007D485D"/>
    <w:rsid w:val="007E0CEE"/>
    <w:rsid w:val="007E2029"/>
    <w:rsid w:val="007F2D5E"/>
    <w:rsid w:val="007F3AAA"/>
    <w:rsid w:val="007F4838"/>
    <w:rsid w:val="007F6E2B"/>
    <w:rsid w:val="00813C72"/>
    <w:rsid w:val="008208AC"/>
    <w:rsid w:val="0082622B"/>
    <w:rsid w:val="00832616"/>
    <w:rsid w:val="008412A9"/>
    <w:rsid w:val="00845623"/>
    <w:rsid w:val="0085164A"/>
    <w:rsid w:val="00851BA5"/>
    <w:rsid w:val="008549F5"/>
    <w:rsid w:val="008701DC"/>
    <w:rsid w:val="00876898"/>
    <w:rsid w:val="00884AAA"/>
    <w:rsid w:val="008931FE"/>
    <w:rsid w:val="0089558B"/>
    <w:rsid w:val="00895DD2"/>
    <w:rsid w:val="008A4F36"/>
    <w:rsid w:val="008A653D"/>
    <w:rsid w:val="008B51BD"/>
    <w:rsid w:val="008B6177"/>
    <w:rsid w:val="008C23EB"/>
    <w:rsid w:val="008C30E5"/>
    <w:rsid w:val="008C43A5"/>
    <w:rsid w:val="008D0345"/>
    <w:rsid w:val="008E3862"/>
    <w:rsid w:val="008E3F2E"/>
    <w:rsid w:val="008E6F3B"/>
    <w:rsid w:val="008E7F16"/>
    <w:rsid w:val="008F4745"/>
    <w:rsid w:val="008F528C"/>
    <w:rsid w:val="00902C85"/>
    <w:rsid w:val="00904340"/>
    <w:rsid w:val="00907143"/>
    <w:rsid w:val="00912B0D"/>
    <w:rsid w:val="00915B62"/>
    <w:rsid w:val="00920284"/>
    <w:rsid w:val="00921EC6"/>
    <w:rsid w:val="00924190"/>
    <w:rsid w:val="00927BF1"/>
    <w:rsid w:val="009375F1"/>
    <w:rsid w:val="00942E13"/>
    <w:rsid w:val="0094489D"/>
    <w:rsid w:val="0094544D"/>
    <w:rsid w:val="009518C9"/>
    <w:rsid w:val="009568EC"/>
    <w:rsid w:val="00965B12"/>
    <w:rsid w:val="00965D55"/>
    <w:rsid w:val="009812FF"/>
    <w:rsid w:val="0099431E"/>
    <w:rsid w:val="00994337"/>
    <w:rsid w:val="00997E9A"/>
    <w:rsid w:val="009A670F"/>
    <w:rsid w:val="009A7D58"/>
    <w:rsid w:val="009D0AA4"/>
    <w:rsid w:val="009D5781"/>
    <w:rsid w:val="009E3730"/>
    <w:rsid w:val="009E3B6E"/>
    <w:rsid w:val="009F292E"/>
    <w:rsid w:val="009F467E"/>
    <w:rsid w:val="009F4E0D"/>
    <w:rsid w:val="00A0376D"/>
    <w:rsid w:val="00A06C98"/>
    <w:rsid w:val="00A15F00"/>
    <w:rsid w:val="00A171BE"/>
    <w:rsid w:val="00A17E45"/>
    <w:rsid w:val="00A20734"/>
    <w:rsid w:val="00A31D25"/>
    <w:rsid w:val="00A371BA"/>
    <w:rsid w:val="00A44A41"/>
    <w:rsid w:val="00A51C73"/>
    <w:rsid w:val="00A569D4"/>
    <w:rsid w:val="00A7512C"/>
    <w:rsid w:val="00A83437"/>
    <w:rsid w:val="00A85DD5"/>
    <w:rsid w:val="00A94788"/>
    <w:rsid w:val="00A9519A"/>
    <w:rsid w:val="00A973CA"/>
    <w:rsid w:val="00AA0C99"/>
    <w:rsid w:val="00AA1A63"/>
    <w:rsid w:val="00AA2D34"/>
    <w:rsid w:val="00AA4950"/>
    <w:rsid w:val="00AA4F6F"/>
    <w:rsid w:val="00AA6B56"/>
    <w:rsid w:val="00AB7830"/>
    <w:rsid w:val="00AC3D43"/>
    <w:rsid w:val="00AC6F9D"/>
    <w:rsid w:val="00AD5252"/>
    <w:rsid w:val="00AD793F"/>
    <w:rsid w:val="00AE6BED"/>
    <w:rsid w:val="00AF7A91"/>
    <w:rsid w:val="00B03E53"/>
    <w:rsid w:val="00B115F1"/>
    <w:rsid w:val="00B13479"/>
    <w:rsid w:val="00B16D88"/>
    <w:rsid w:val="00B17B75"/>
    <w:rsid w:val="00B20629"/>
    <w:rsid w:val="00B219AC"/>
    <w:rsid w:val="00B23717"/>
    <w:rsid w:val="00B26B87"/>
    <w:rsid w:val="00B303C3"/>
    <w:rsid w:val="00B34DF2"/>
    <w:rsid w:val="00B36E74"/>
    <w:rsid w:val="00B42BE7"/>
    <w:rsid w:val="00B44C26"/>
    <w:rsid w:val="00B45471"/>
    <w:rsid w:val="00B51BF3"/>
    <w:rsid w:val="00B55FB1"/>
    <w:rsid w:val="00B56FEA"/>
    <w:rsid w:val="00B677F0"/>
    <w:rsid w:val="00B75D32"/>
    <w:rsid w:val="00B848ED"/>
    <w:rsid w:val="00B951D9"/>
    <w:rsid w:val="00B97BA5"/>
    <w:rsid w:val="00BA59BE"/>
    <w:rsid w:val="00BB0945"/>
    <w:rsid w:val="00BB0A28"/>
    <w:rsid w:val="00BB7C1A"/>
    <w:rsid w:val="00BC32C1"/>
    <w:rsid w:val="00BD0413"/>
    <w:rsid w:val="00BD0E88"/>
    <w:rsid w:val="00BD4F50"/>
    <w:rsid w:val="00BE5C0D"/>
    <w:rsid w:val="00BF0BA2"/>
    <w:rsid w:val="00BF4DF8"/>
    <w:rsid w:val="00BF5871"/>
    <w:rsid w:val="00C00707"/>
    <w:rsid w:val="00C212D6"/>
    <w:rsid w:val="00C221C5"/>
    <w:rsid w:val="00C24C92"/>
    <w:rsid w:val="00C27844"/>
    <w:rsid w:val="00C33779"/>
    <w:rsid w:val="00C348F9"/>
    <w:rsid w:val="00C4058B"/>
    <w:rsid w:val="00C41072"/>
    <w:rsid w:val="00C45204"/>
    <w:rsid w:val="00C5222C"/>
    <w:rsid w:val="00C55762"/>
    <w:rsid w:val="00C57959"/>
    <w:rsid w:val="00C636C7"/>
    <w:rsid w:val="00C653AE"/>
    <w:rsid w:val="00C703A2"/>
    <w:rsid w:val="00C70804"/>
    <w:rsid w:val="00C71176"/>
    <w:rsid w:val="00C713A3"/>
    <w:rsid w:val="00C736C3"/>
    <w:rsid w:val="00C77AF4"/>
    <w:rsid w:val="00C80CB8"/>
    <w:rsid w:val="00C815A3"/>
    <w:rsid w:val="00C830C1"/>
    <w:rsid w:val="00C90CE8"/>
    <w:rsid w:val="00C92E9B"/>
    <w:rsid w:val="00C964F1"/>
    <w:rsid w:val="00CA3B9D"/>
    <w:rsid w:val="00CA66BF"/>
    <w:rsid w:val="00CA731C"/>
    <w:rsid w:val="00CB0F79"/>
    <w:rsid w:val="00CB5078"/>
    <w:rsid w:val="00CB6AB3"/>
    <w:rsid w:val="00CB72D7"/>
    <w:rsid w:val="00CC3738"/>
    <w:rsid w:val="00CC3DC1"/>
    <w:rsid w:val="00CC4725"/>
    <w:rsid w:val="00CE5893"/>
    <w:rsid w:val="00CF2030"/>
    <w:rsid w:val="00D1007B"/>
    <w:rsid w:val="00D122D7"/>
    <w:rsid w:val="00D13D1C"/>
    <w:rsid w:val="00D20FE7"/>
    <w:rsid w:val="00D26F25"/>
    <w:rsid w:val="00D3412F"/>
    <w:rsid w:val="00D54202"/>
    <w:rsid w:val="00D61761"/>
    <w:rsid w:val="00D7146F"/>
    <w:rsid w:val="00D84675"/>
    <w:rsid w:val="00D85B01"/>
    <w:rsid w:val="00D914AE"/>
    <w:rsid w:val="00D91E89"/>
    <w:rsid w:val="00D928FC"/>
    <w:rsid w:val="00D957BB"/>
    <w:rsid w:val="00D95B21"/>
    <w:rsid w:val="00DA3F82"/>
    <w:rsid w:val="00DA5829"/>
    <w:rsid w:val="00DB521D"/>
    <w:rsid w:val="00DB79AC"/>
    <w:rsid w:val="00DD672C"/>
    <w:rsid w:val="00DD674E"/>
    <w:rsid w:val="00DE515F"/>
    <w:rsid w:val="00DE538B"/>
    <w:rsid w:val="00DE56D8"/>
    <w:rsid w:val="00DF11FA"/>
    <w:rsid w:val="00DF6B71"/>
    <w:rsid w:val="00E021D4"/>
    <w:rsid w:val="00E1175A"/>
    <w:rsid w:val="00E12C1E"/>
    <w:rsid w:val="00E162CA"/>
    <w:rsid w:val="00E168B3"/>
    <w:rsid w:val="00E17B26"/>
    <w:rsid w:val="00E34A99"/>
    <w:rsid w:val="00E34D4A"/>
    <w:rsid w:val="00E41239"/>
    <w:rsid w:val="00E5023D"/>
    <w:rsid w:val="00E52D61"/>
    <w:rsid w:val="00E52DEF"/>
    <w:rsid w:val="00E639A7"/>
    <w:rsid w:val="00E6430C"/>
    <w:rsid w:val="00E6793F"/>
    <w:rsid w:val="00E71B9C"/>
    <w:rsid w:val="00E764DC"/>
    <w:rsid w:val="00E76787"/>
    <w:rsid w:val="00E77097"/>
    <w:rsid w:val="00E82DA0"/>
    <w:rsid w:val="00E94843"/>
    <w:rsid w:val="00E9601E"/>
    <w:rsid w:val="00EA6AC7"/>
    <w:rsid w:val="00EB4F03"/>
    <w:rsid w:val="00EB5E7C"/>
    <w:rsid w:val="00EC0DFD"/>
    <w:rsid w:val="00EC1B4A"/>
    <w:rsid w:val="00EC60D2"/>
    <w:rsid w:val="00EC6F9D"/>
    <w:rsid w:val="00ED27EF"/>
    <w:rsid w:val="00ED42AB"/>
    <w:rsid w:val="00ED7CD9"/>
    <w:rsid w:val="00EE1BF0"/>
    <w:rsid w:val="00EF0587"/>
    <w:rsid w:val="00EF23D0"/>
    <w:rsid w:val="00EF2F37"/>
    <w:rsid w:val="00EF688F"/>
    <w:rsid w:val="00F17E82"/>
    <w:rsid w:val="00F26328"/>
    <w:rsid w:val="00F26FF7"/>
    <w:rsid w:val="00F27828"/>
    <w:rsid w:val="00F32E85"/>
    <w:rsid w:val="00F406B7"/>
    <w:rsid w:val="00F43BA2"/>
    <w:rsid w:val="00F60FC9"/>
    <w:rsid w:val="00F679E1"/>
    <w:rsid w:val="00F72FA8"/>
    <w:rsid w:val="00F91DBA"/>
    <w:rsid w:val="00F92496"/>
    <w:rsid w:val="00F9553A"/>
    <w:rsid w:val="00FA08F9"/>
    <w:rsid w:val="00FA0AF2"/>
    <w:rsid w:val="00FB0FBB"/>
    <w:rsid w:val="00FC46C8"/>
    <w:rsid w:val="00FD076B"/>
    <w:rsid w:val="00FD1810"/>
    <w:rsid w:val="00FD4CD3"/>
    <w:rsid w:val="00FD77FA"/>
    <w:rsid w:val="00FE558D"/>
    <w:rsid w:val="00FF15BE"/>
    <w:rsid w:val="00FF2A7A"/>
    <w:rsid w:val="00FF742E"/>
    <w:rsid w:val="07896417"/>
    <w:rsid w:val="0A8C16CA"/>
    <w:rsid w:val="0C29783E"/>
    <w:rsid w:val="0F27056D"/>
    <w:rsid w:val="11AA5B16"/>
    <w:rsid w:val="12933492"/>
    <w:rsid w:val="18AC19E1"/>
    <w:rsid w:val="196D0BC8"/>
    <w:rsid w:val="1A0C3B41"/>
    <w:rsid w:val="1FAA3CF0"/>
    <w:rsid w:val="20B840E1"/>
    <w:rsid w:val="21276276"/>
    <w:rsid w:val="21810CED"/>
    <w:rsid w:val="25027B8C"/>
    <w:rsid w:val="29D438FB"/>
    <w:rsid w:val="2D3B12F4"/>
    <w:rsid w:val="2F1D20CC"/>
    <w:rsid w:val="33351A68"/>
    <w:rsid w:val="34E14C9A"/>
    <w:rsid w:val="37D659AF"/>
    <w:rsid w:val="387368D8"/>
    <w:rsid w:val="39DE4018"/>
    <w:rsid w:val="3E570987"/>
    <w:rsid w:val="3F1A19A8"/>
    <w:rsid w:val="3F9414C8"/>
    <w:rsid w:val="41733EE9"/>
    <w:rsid w:val="424D7444"/>
    <w:rsid w:val="42A319B2"/>
    <w:rsid w:val="44423160"/>
    <w:rsid w:val="50845AAC"/>
    <w:rsid w:val="56CD6E0A"/>
    <w:rsid w:val="57744EE9"/>
    <w:rsid w:val="593216A2"/>
    <w:rsid w:val="5AE73959"/>
    <w:rsid w:val="5B253B7F"/>
    <w:rsid w:val="5F420017"/>
    <w:rsid w:val="6220795A"/>
    <w:rsid w:val="6615789A"/>
    <w:rsid w:val="682A3D7A"/>
    <w:rsid w:val="742E53BA"/>
    <w:rsid w:val="743E5B1E"/>
    <w:rsid w:val="75342F4E"/>
    <w:rsid w:val="758C2741"/>
    <w:rsid w:val="765F4929"/>
    <w:rsid w:val="7F12560B"/>
    <w:rsid w:val="FFF97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4"/>
    <w:qFormat/>
    <w:uiPriority w:val="0"/>
    <w:pPr>
      <w:widowControl/>
      <w:spacing w:after="120"/>
      <w:jc w:val="left"/>
    </w:pPr>
    <w:rPr>
      <w:rFonts w:ascii="Calibri" w:hAnsi="Calibri" w:eastAsia="宋体" w:cs="Times New Roman"/>
      <w:kern w:val="0"/>
      <w:sz w:val="24"/>
      <w:szCs w:val="24"/>
      <w:lang w:eastAsia="en-US" w:bidi="en-US"/>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 w:type="character" w:customStyle="1" w:styleId="14">
    <w:name w:val="正文文本 Char"/>
    <w:basedOn w:val="9"/>
    <w:link w:val="3"/>
    <w:qFormat/>
    <w:uiPriority w:val="0"/>
    <w:rPr>
      <w:rFonts w:ascii="Calibri" w:hAnsi="Calibri" w:eastAsia="宋体" w:cs="Times New Roman"/>
      <w:sz w:val="24"/>
      <w:szCs w:val="24"/>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E84CBA-7B24-4505-97AC-0C9B4B941684}">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19</Pages>
  <Words>9123</Words>
  <Characters>9194</Characters>
  <Lines>105</Lines>
  <Paragraphs>29</Paragraphs>
  <TotalTime>3</TotalTime>
  <ScaleCrop>false</ScaleCrop>
  <LinksUpToDate>false</LinksUpToDate>
  <CharactersWithSpaces>9196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2022-04-14T02:53:00Z</dcterms:created>
  <dc:creator>房国辉</dc:creator>
  <cp:lastModifiedBy>kkk</cp:lastModifiedBy>
  <cp:lastPrinted>2022-04-16T14:15:00Z</cp:lastPrinted>
  <dcterms:modified xsi:type="dcterms:W3CDTF">2022-05-11T06:21:29Z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BC14AD7DB63C40B1B95E710AABABC391</vt:lpwstr>
  </property>
  <property fmtid="{D5CDD505-2E9C-101B-9397-08002B2CF9AE}" pid="4" name="commondata">
    <vt:lpwstr>eyJoZGlkIjoiZDZjYjlkOWY0NTFiMTQ3MDgwNGZhZDExNWI1YWU5M2MifQ==</vt:lpwstr>
  </property>
</Properties>
</file>