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靖宇县</w:t>
      </w:r>
      <w:r>
        <w:rPr>
          <w:rFonts w:hint="eastAsia" w:ascii="方正小标宋简体" w:hAnsi="方正小标宋简体" w:eastAsia="方正小标宋简体" w:cs="方正小标宋简体"/>
          <w:sz w:val="44"/>
          <w:szCs w:val="44"/>
        </w:rPr>
        <w:t>高效便利政务环境建设工程</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sz w:val="32"/>
          <w:szCs w:val="32"/>
        </w:rPr>
      </w:pPr>
      <w:r>
        <w:rPr>
          <w:rFonts w:hint="eastAsia" w:ascii="方正小标宋简体" w:hAnsi="方正小标宋简体" w:eastAsia="方正小标宋简体" w:cs="方正小标宋简体"/>
          <w:sz w:val="44"/>
          <w:szCs w:val="44"/>
        </w:rPr>
        <w:t>工作专班及任务清单(2023年)</w:t>
      </w:r>
    </w:p>
    <w:bookmarkEnd w:id="0"/>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关于优化营商环境的决策部署，持续推动政府职能转变，全面提升全省政务服务能力水平，加快建设高效便利的一流政务环境，2023年1月省政府印发了《吉林省高效便利政务环境建设工程实施方案》，按照相关要求并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政府成立</w:t>
      </w:r>
      <w:r>
        <w:rPr>
          <w:rFonts w:hint="eastAsia" w:ascii="仿宋_GB2312" w:hAnsi="仿宋_GB2312" w:eastAsia="仿宋_GB2312" w:cs="仿宋_GB2312"/>
          <w:sz w:val="32"/>
          <w:szCs w:val="32"/>
          <w:lang w:eastAsia="zh-CN"/>
        </w:rPr>
        <w:t>靖宇县</w:t>
      </w:r>
      <w:r>
        <w:rPr>
          <w:rFonts w:hint="eastAsia" w:ascii="仿宋_GB2312" w:hAnsi="仿宋_GB2312" w:eastAsia="仿宋_GB2312" w:cs="仿宋_GB2312"/>
          <w:sz w:val="32"/>
          <w:szCs w:val="32"/>
        </w:rPr>
        <w:t>高效便利政务环境建设工程工作专班。</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专班职责：专班由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数局负总责，建立与各配合部门共同推进的高效便利政务环境建设工程工作协调机制。对相关工作任务进行科学谋划、综合协调，牵头汇总、分解相关工作任务，指导相关配合部门持续推进分工任务落实。制定《</w:t>
      </w:r>
      <w:r>
        <w:rPr>
          <w:rFonts w:hint="eastAsia" w:ascii="仿宋_GB2312" w:hAnsi="仿宋_GB2312" w:eastAsia="仿宋_GB2312" w:cs="仿宋_GB2312"/>
          <w:sz w:val="32"/>
          <w:szCs w:val="32"/>
          <w:lang w:eastAsia="zh-CN"/>
        </w:rPr>
        <w:t>靖宇县</w:t>
      </w:r>
      <w:r>
        <w:rPr>
          <w:rFonts w:hint="eastAsia" w:ascii="仿宋_GB2312" w:hAnsi="仿宋_GB2312" w:eastAsia="仿宋_GB2312" w:cs="仿宋_GB2312"/>
          <w:sz w:val="32"/>
          <w:szCs w:val="32"/>
        </w:rPr>
        <w:t>高效便利政务环境建设工程工作专班任务清单(2023年)》，明确重点任务时间表、路线图，确保高效便利政务保障政策落到实处。</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专班人员：</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王崇宇</w:t>
      </w:r>
      <w:r>
        <w:rPr>
          <w:rFonts w:hint="eastAsia" w:ascii="仿宋_GB2312" w:hAnsi="仿宋_GB2312" w:eastAsia="仿宋_GB2312" w:cs="仿宋_GB2312"/>
          <w:sz w:val="32"/>
          <w:szCs w:val="32"/>
          <w:lang w:val="en-US" w:eastAsia="zh-CN"/>
        </w:rPr>
        <w:t xml:space="preserve"> 县政务服务和数字化建设管理局局长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谢洪金 县政务服务和数字化建设管理局副局长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1920" w:firstLineChars="6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王宇光 县政务服务中心主任</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 xml:space="preserve">朴  智 县政数局营商环境督察服务科负责人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配合部门：</w:t>
      </w:r>
      <w:r>
        <w:rPr>
          <w:rFonts w:hint="eastAsia" w:ascii="仿宋_GB2312" w:hAnsi="仿宋_GB2312" w:eastAsia="仿宋_GB2312" w:cs="仿宋_GB2312"/>
          <w:sz w:val="32"/>
          <w:szCs w:val="32"/>
          <w:lang w:eastAsia="zh-CN"/>
        </w:rPr>
        <w:t>县政府办公室、县市场监督管理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税务局、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自然资源局</w:t>
      </w:r>
      <w:r>
        <w:rPr>
          <w:rFonts w:hint="eastAsia" w:ascii="仿宋_GB2312" w:hAnsi="仿宋_GB2312" w:eastAsia="仿宋_GB2312" w:cs="仿宋_GB2312"/>
          <w:sz w:val="32"/>
          <w:szCs w:val="32"/>
          <w:lang w:eastAsia="zh-CN"/>
        </w:rPr>
        <w:t>、各乡镇人民政府</w:t>
      </w:r>
      <w:r>
        <w:rPr>
          <w:rFonts w:hint="eastAsia" w:ascii="仿宋_GB2312" w:hAnsi="仿宋_GB2312" w:eastAsia="仿宋_GB2312" w:cs="仿宋_GB2312"/>
          <w:sz w:val="32"/>
          <w:szCs w:val="32"/>
        </w:rPr>
        <w:t>。</w:t>
      </w:r>
    </w:p>
    <w:p>
      <w:pPr>
        <w:spacing w:before="143" w:line="221" w:lineRule="auto"/>
        <w:jc w:val="both"/>
        <w:rPr>
          <w:rFonts w:hint="eastAsia" w:ascii="宋体" w:hAnsi="宋体" w:eastAsia="宋体" w:cs="宋体"/>
          <w:spacing w:val="-3"/>
          <w:sz w:val="44"/>
          <w:szCs w:val="44"/>
          <w:lang w:val="en-US" w:eastAsia="zh-CN"/>
        </w:rPr>
        <w:sectPr>
          <w:footerReference r:id="rId3" w:type="default"/>
          <w:pgSz w:w="11906" w:h="16838"/>
          <w:pgMar w:top="1417" w:right="1417" w:bottom="1417" w:left="1417" w:header="851" w:footer="992" w:gutter="0"/>
          <w:pgNumType w:fmt="decimal"/>
          <w:cols w:space="720" w:num="1"/>
          <w:rtlGutter w:val="0"/>
          <w:docGrid w:type="lines" w:linePitch="312" w:charSpace="0"/>
        </w:sectPr>
      </w:pPr>
    </w:p>
    <w:p>
      <w:pPr>
        <w:spacing w:before="143" w:line="221" w:lineRule="auto"/>
        <w:jc w:val="center"/>
        <w:rPr>
          <w:rFonts w:hint="eastAsia" w:ascii="宋体" w:hAnsi="宋体" w:eastAsia="宋体" w:cs="宋体"/>
          <w:sz w:val="44"/>
          <w:szCs w:val="44"/>
        </w:rPr>
      </w:pPr>
      <w:r>
        <w:rPr>
          <w:rFonts w:hint="eastAsia" w:ascii="宋体" w:hAnsi="宋体" w:eastAsia="宋体" w:cs="宋体"/>
          <w:spacing w:val="-3"/>
          <w:sz w:val="44"/>
          <w:szCs w:val="44"/>
          <w:lang w:val="en-US" w:eastAsia="zh-CN"/>
        </w:rPr>
        <w:t>靖宇县高效便利政务环境建设工程工作专班任务清单</w:t>
      </w:r>
      <w:r>
        <w:rPr>
          <w:rFonts w:hint="eastAsia" w:ascii="宋体" w:hAnsi="宋体" w:eastAsia="宋体" w:cs="宋体"/>
          <w:spacing w:val="-3"/>
          <w:sz w:val="44"/>
          <w:szCs w:val="44"/>
        </w:rPr>
        <w:t xml:space="preserve"> (2023</w:t>
      </w:r>
      <w:r>
        <w:rPr>
          <w:rFonts w:hint="eastAsia" w:ascii="宋体" w:hAnsi="宋体" w:eastAsia="宋体" w:cs="宋体"/>
          <w:sz w:val="44"/>
          <w:szCs w:val="44"/>
        </w:rPr>
        <w:t>年)</w:t>
      </w:r>
    </w:p>
    <w:tbl>
      <w:tblPr>
        <w:tblStyle w:val="6"/>
        <w:tblW w:w="15928" w:type="dxa"/>
        <w:tblInd w:w="-8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
        <w:gridCol w:w="274"/>
        <w:gridCol w:w="100"/>
        <w:gridCol w:w="2234"/>
        <w:gridCol w:w="616"/>
        <w:gridCol w:w="2013"/>
        <w:gridCol w:w="737"/>
        <w:gridCol w:w="2184"/>
        <w:gridCol w:w="1363"/>
        <w:gridCol w:w="14"/>
        <w:gridCol w:w="1077"/>
        <w:gridCol w:w="191"/>
        <w:gridCol w:w="970"/>
        <w:gridCol w:w="53"/>
        <w:gridCol w:w="914"/>
        <w:gridCol w:w="143"/>
        <w:gridCol w:w="794"/>
        <w:gridCol w:w="961"/>
        <w:gridCol w:w="1170"/>
        <w:gridCol w:w="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3" w:type="dxa"/>
          <w:trHeight w:val="339" w:hRule="atLeast"/>
        </w:trPr>
        <w:tc>
          <w:tcPr>
            <w:tcW w:w="374" w:type="dxa"/>
            <w:gridSpan w:val="2"/>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234"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16"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184"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725" w:type="dxa"/>
            <w:gridSpan w:val="8"/>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9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6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97" w:type="dxa"/>
            <w:gridSpan w:val="2"/>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3" w:type="dxa"/>
          <w:trHeight w:val="487" w:hRule="atLeast"/>
        </w:trPr>
        <w:tc>
          <w:tcPr>
            <w:tcW w:w="374" w:type="dxa"/>
            <w:gridSpan w:val="2"/>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2234"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16" w:type="dxa"/>
            <w:vMerge w:val="continue"/>
            <w:tcBorders>
              <w:top w:val="nil"/>
            </w:tcBorders>
            <w:noWrap w:val="0"/>
            <w:vAlign w:val="top"/>
          </w:tcPr>
          <w:p>
            <w:pPr>
              <w:jc w:val="center"/>
              <w:rPr>
                <w:rFonts w:hint="eastAsia" w:ascii="宋体" w:hAnsi="宋体" w:eastAsia="宋体" w:cs="宋体"/>
                <w:sz w:val="20"/>
                <w:szCs w:val="20"/>
              </w:rPr>
            </w:pPr>
          </w:p>
        </w:tc>
        <w:tc>
          <w:tcPr>
            <w:tcW w:w="2013" w:type="dxa"/>
            <w:vMerge w:val="continue"/>
            <w:tcBorders>
              <w:top w:val="nil"/>
            </w:tcBorders>
            <w:noWrap w:val="0"/>
            <w:vAlign w:val="top"/>
          </w:tcPr>
          <w:p>
            <w:pPr>
              <w:jc w:val="center"/>
              <w:rPr>
                <w:rFonts w:hint="eastAsia" w:ascii="宋体" w:hAnsi="宋体" w:eastAsia="宋体" w:cs="宋体"/>
                <w:sz w:val="20"/>
                <w:szCs w:val="20"/>
              </w:rPr>
            </w:pPr>
          </w:p>
        </w:tc>
        <w:tc>
          <w:tcPr>
            <w:tcW w:w="737" w:type="dxa"/>
            <w:vMerge w:val="continue"/>
            <w:noWrap w:val="0"/>
            <w:vAlign w:val="top"/>
          </w:tcPr>
          <w:p>
            <w:pPr>
              <w:jc w:val="center"/>
              <w:rPr>
                <w:rFonts w:hint="eastAsia" w:ascii="宋体" w:hAnsi="宋体" w:eastAsia="宋体" w:cs="宋体"/>
                <w:snapToGrid w:val="0"/>
                <w:color w:val="000000"/>
                <w:kern w:val="0"/>
                <w:sz w:val="20"/>
                <w:szCs w:val="20"/>
              </w:rPr>
            </w:pPr>
          </w:p>
        </w:tc>
        <w:tc>
          <w:tcPr>
            <w:tcW w:w="2184"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377" w:type="dxa"/>
            <w:gridSpan w:val="2"/>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8" w:type="dxa"/>
            <w:gridSpan w:val="2"/>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023" w:type="dxa"/>
            <w:gridSpan w:val="2"/>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057" w:type="dxa"/>
            <w:gridSpan w:val="2"/>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94" w:type="dxa"/>
            <w:vMerge w:val="continue"/>
            <w:tcBorders>
              <w:top w:val="nil"/>
            </w:tcBorders>
            <w:noWrap w:val="0"/>
            <w:vAlign w:val="top"/>
          </w:tcPr>
          <w:p>
            <w:pPr>
              <w:jc w:val="center"/>
              <w:rPr>
                <w:rFonts w:hint="eastAsia" w:ascii="宋体" w:hAnsi="宋体" w:eastAsia="宋体" w:cs="宋体"/>
                <w:sz w:val="20"/>
                <w:szCs w:val="20"/>
              </w:rPr>
            </w:pPr>
          </w:p>
        </w:tc>
        <w:tc>
          <w:tcPr>
            <w:tcW w:w="961" w:type="dxa"/>
            <w:vMerge w:val="continue"/>
            <w:noWrap w:val="0"/>
            <w:vAlign w:val="top"/>
          </w:tcPr>
          <w:p>
            <w:pPr>
              <w:jc w:val="center"/>
              <w:rPr>
                <w:rFonts w:hint="eastAsia" w:ascii="宋体" w:hAnsi="宋体" w:eastAsia="宋体" w:cs="宋体"/>
                <w:sz w:val="20"/>
                <w:szCs w:val="20"/>
              </w:rPr>
            </w:pPr>
          </w:p>
        </w:tc>
        <w:tc>
          <w:tcPr>
            <w:tcW w:w="1197" w:type="dxa"/>
            <w:gridSpan w:val="2"/>
            <w:vMerge w:val="continue"/>
            <w:noWrap w:val="0"/>
            <w:vAlign w:val="top"/>
          </w:tcPr>
          <w:p>
            <w:pPr>
              <w:spacing w:line="267" w:lineRule="auto"/>
              <w:jc w:val="center"/>
              <w:rPr>
                <w:rFonts w:hint="eastAsia"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3" w:type="dxa"/>
          <w:trHeight w:val="7282" w:hRule="atLeast"/>
        </w:trPr>
        <w:tc>
          <w:tcPr>
            <w:tcW w:w="374" w:type="dxa"/>
            <w:gridSpan w:val="2"/>
            <w:noWrap w:val="0"/>
            <w:vAlign w:val="top"/>
          </w:tcPr>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both"/>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2234" w:type="dxa"/>
            <w:noWrap w:val="0"/>
            <w:vAlign w:val="center"/>
          </w:tcPr>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推进政务服务事项规范管理。健全完善全省政务服务事项规范化管理制度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及时根据国家政务服务事项基本目录调整情况</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动态调整维护全省政务服务事项要素信息，加强全省政务服务事项库建设，推动实现同一政务服务事项名称</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类别等要素在全省范围内统一</w:t>
            </w:r>
            <w:r>
              <w:rPr>
                <w:rFonts w:hint="eastAsia" w:ascii="宋体" w:hAnsi="宋体" w:eastAsia="宋体" w:cs="宋体"/>
                <w:color w:val="auto"/>
                <w:sz w:val="18"/>
                <w:szCs w:val="18"/>
                <w:lang w:eastAsia="zh-CN"/>
              </w:rPr>
              <w:t>。</w:t>
            </w: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val="en-US" w:eastAsia="zh-CN"/>
              </w:rPr>
            </w:pPr>
          </w:p>
        </w:tc>
        <w:tc>
          <w:tcPr>
            <w:tcW w:w="616" w:type="dxa"/>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r>
              <w:rPr>
                <w:rFonts w:hint="eastAsia" w:ascii="宋体" w:hAnsi="宋体" w:eastAsia="宋体" w:cs="宋体"/>
                <w:color w:val="auto"/>
                <w:sz w:val="18"/>
                <w:szCs w:val="18"/>
              </w:rPr>
              <w:t>省政数 局牵头，各有关部门按职责分工负责</w:t>
            </w:r>
          </w:p>
        </w:tc>
        <w:tc>
          <w:tcPr>
            <w:tcW w:w="2013" w:type="dxa"/>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r>
              <w:rPr>
                <w:rFonts w:hint="eastAsia" w:ascii="宋体" w:hAnsi="宋体" w:eastAsia="宋体" w:cs="宋体"/>
                <w:color w:val="auto"/>
                <w:sz w:val="18"/>
                <w:szCs w:val="18"/>
              </w:rPr>
              <w:t>①动态管理全省政务服务事项库</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每日登录管理系统</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实时查询地区复用和部门复用情况，及时通知相关部门认领新增政务服务事项，审核提交的不复用事项，确保政务服务事项应领尽领。  </w:t>
            </w:r>
          </w:p>
          <w:p>
            <w:pPr>
              <w:rPr>
                <w:rFonts w:hint="eastAsia" w:ascii="宋体" w:hAnsi="宋体" w:eastAsia="宋体" w:cs="宋体"/>
                <w:color w:val="auto"/>
                <w:sz w:val="18"/>
                <w:szCs w:val="18"/>
              </w:rPr>
            </w:pPr>
            <w:r>
              <w:rPr>
                <w:rFonts w:hint="eastAsia" w:ascii="宋体" w:hAnsi="宋体" w:eastAsia="宋体" w:cs="宋体"/>
                <w:color w:val="auto"/>
                <w:sz w:val="18"/>
                <w:szCs w:val="18"/>
              </w:rPr>
              <w:t>②开展政务服务事项要素信息整改工作，针对不符合国家质检规则的事项</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组织各县(市、区)和市级相关部门及时对照问题修改要素信息，确保政务服务事项准确无误。</w:t>
            </w:r>
          </w:p>
        </w:tc>
        <w:tc>
          <w:tcPr>
            <w:tcW w:w="737" w:type="dxa"/>
            <w:noWrap w:val="0"/>
            <w:vAlign w:val="center"/>
          </w:tcPr>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市政数局牵头</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各有关部门按职责分 工负责</w:t>
            </w:r>
          </w:p>
          <w:p>
            <w:pPr>
              <w:rPr>
                <w:rFonts w:hint="eastAsia" w:ascii="宋体" w:hAnsi="宋体" w:eastAsia="宋体" w:cs="宋体"/>
                <w:color w:val="auto"/>
                <w:sz w:val="18"/>
                <w:szCs w:val="18"/>
              </w:rPr>
            </w:pPr>
          </w:p>
        </w:tc>
        <w:tc>
          <w:tcPr>
            <w:tcW w:w="2184" w:type="dxa"/>
            <w:noWrap w:val="0"/>
            <w:vAlign w:val="center"/>
          </w:tcPr>
          <w:p>
            <w:pPr>
              <w:rPr>
                <w:rFonts w:hint="eastAsia" w:ascii="宋体" w:hAnsi="宋体" w:eastAsia="宋体" w:cs="宋体"/>
                <w:color w:val="auto"/>
                <w:sz w:val="18"/>
                <w:szCs w:val="18"/>
              </w:rPr>
            </w:pPr>
            <w:r>
              <w:rPr>
                <w:rFonts w:hint="eastAsia" w:ascii="宋体" w:hAnsi="宋体" w:eastAsia="宋体" w:cs="宋体"/>
                <w:color w:val="auto"/>
                <w:sz w:val="18"/>
                <w:szCs w:val="18"/>
              </w:rPr>
              <w:t>①动态管理全省政务服务事项库。每日登录管理系统，实时查询地区复用和部门复用情况</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及时通知相关部门认领新增政务服务事项</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审核提交的不复用事项，确保政务服务事项应领尽领。  </w:t>
            </w:r>
          </w:p>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②开展政务服务事项要素信息整改工作，针对不符合国家质检规则的事项，组织各县级相关部门及时对照问题修改要素信息，确保政务服务事项准确无误。</w:t>
            </w:r>
          </w:p>
        </w:tc>
        <w:tc>
          <w:tcPr>
            <w:tcW w:w="1377" w:type="dxa"/>
            <w:gridSpan w:val="2"/>
            <w:noWrap w:val="0"/>
            <w:vAlign w:val="top"/>
          </w:tcPr>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建立健全政务服务事项录入审核、调整更新、复用维护等工作制度，推动全县政务服务事项库规范管理、动态维护和事项同源，实现同一政务服务事项的基本编码、事项名称等16个要素统一。</w:t>
            </w:r>
          </w:p>
          <w:p>
            <w:pPr>
              <w:rPr>
                <w:rFonts w:hint="eastAsia" w:ascii="宋体" w:hAnsi="宋体" w:eastAsia="宋体" w:cs="宋体"/>
                <w:color w:val="auto"/>
                <w:sz w:val="18"/>
                <w:szCs w:val="18"/>
              </w:rPr>
            </w:pPr>
          </w:p>
        </w:tc>
        <w:tc>
          <w:tcPr>
            <w:tcW w:w="1268" w:type="dxa"/>
            <w:gridSpan w:val="2"/>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组织全县各部门动态推动政务服务事项库，实现同一政务服务事项的基本编码、事项名称等16个要素统一。</w:t>
            </w:r>
          </w:p>
        </w:tc>
        <w:tc>
          <w:tcPr>
            <w:tcW w:w="1023" w:type="dxa"/>
            <w:gridSpan w:val="2"/>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组织全县各部门动态推动政务服务事项库，实现同一政务服务事项的基本编码、事项名称等16个要素统一。</w:t>
            </w:r>
          </w:p>
          <w:p>
            <w:pPr>
              <w:rPr>
                <w:rFonts w:hint="eastAsia" w:ascii="宋体" w:hAnsi="宋体" w:eastAsia="宋体" w:cs="宋体"/>
                <w:color w:val="auto"/>
                <w:sz w:val="18"/>
                <w:szCs w:val="18"/>
              </w:rPr>
            </w:pPr>
          </w:p>
        </w:tc>
        <w:tc>
          <w:tcPr>
            <w:tcW w:w="1057" w:type="dxa"/>
            <w:gridSpan w:val="2"/>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对我县政务服务事项库开展自查，确保赋分靠前。</w:t>
            </w:r>
          </w:p>
        </w:tc>
        <w:tc>
          <w:tcPr>
            <w:tcW w:w="794"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县政数局</w:t>
            </w:r>
          </w:p>
        </w:tc>
        <w:tc>
          <w:tcPr>
            <w:tcW w:w="961"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王宇光</w:t>
            </w:r>
          </w:p>
        </w:tc>
        <w:tc>
          <w:tcPr>
            <w:tcW w:w="1197" w:type="dxa"/>
            <w:gridSpan w:val="2"/>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行政审批制度改革科</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夏涵</w:t>
            </w:r>
          </w:p>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18804306342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7" w:type="dxa"/>
          <w:trHeight w:val="339" w:hRule="atLeast"/>
        </w:trPr>
        <w:tc>
          <w:tcPr>
            <w:tcW w:w="367" w:type="dxa"/>
            <w:gridSpan w:val="2"/>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334" w:type="dxa"/>
            <w:gridSpan w:val="2"/>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16"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184"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82" w:type="dxa"/>
            <w:gridSpan w:val="7"/>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7" w:type="dxa"/>
            <w:gridSpan w:val="2"/>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6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70"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7" w:type="dxa"/>
          <w:trHeight w:val="394" w:hRule="atLeast"/>
        </w:trPr>
        <w:tc>
          <w:tcPr>
            <w:tcW w:w="367" w:type="dxa"/>
            <w:gridSpan w:val="2"/>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334" w:type="dxa"/>
            <w:gridSpan w:val="2"/>
            <w:vMerge w:val="continue"/>
            <w:tcBorders>
              <w:top w:val="nil"/>
            </w:tcBorders>
            <w:noWrap w:val="0"/>
            <w:vAlign w:val="top"/>
          </w:tcPr>
          <w:p>
            <w:pPr>
              <w:rPr>
                <w:rFonts w:hint="eastAsia" w:ascii="宋体" w:hAnsi="宋体" w:eastAsia="宋体" w:cs="宋体"/>
                <w:sz w:val="18"/>
                <w:szCs w:val="18"/>
                <w:lang w:eastAsia="zh-CN"/>
              </w:rPr>
            </w:pPr>
          </w:p>
        </w:tc>
        <w:tc>
          <w:tcPr>
            <w:tcW w:w="616" w:type="dxa"/>
            <w:vMerge w:val="continue"/>
            <w:tcBorders>
              <w:top w:val="nil"/>
            </w:tcBorders>
            <w:noWrap w:val="0"/>
            <w:vAlign w:val="top"/>
          </w:tcPr>
          <w:p>
            <w:pPr>
              <w:rPr>
                <w:rFonts w:hint="eastAsia" w:ascii="宋体" w:hAnsi="宋体" w:eastAsia="宋体" w:cs="宋体"/>
                <w:sz w:val="18"/>
                <w:szCs w:val="18"/>
              </w:rPr>
            </w:pPr>
          </w:p>
        </w:tc>
        <w:tc>
          <w:tcPr>
            <w:tcW w:w="2013"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184" w:type="dxa"/>
            <w:vMerge w:val="continue"/>
            <w:noWrap w:val="0"/>
            <w:vAlign w:val="top"/>
          </w:tcPr>
          <w:p>
            <w:pPr>
              <w:rPr>
                <w:rFonts w:hint="eastAsia" w:ascii="宋体" w:hAnsi="宋体" w:eastAsia="宋体" w:cs="宋体"/>
                <w:sz w:val="18"/>
                <w:szCs w:val="18"/>
              </w:rPr>
            </w:pPr>
          </w:p>
        </w:tc>
        <w:tc>
          <w:tcPr>
            <w:tcW w:w="1363" w:type="dxa"/>
            <w:noWrap w:val="0"/>
            <w:vAlign w:val="top"/>
          </w:tcPr>
          <w:p>
            <w:pPr>
              <w:jc w:val="center"/>
              <w:rPr>
                <w:rFonts w:hint="eastAsia" w:ascii="宋体" w:hAnsi="宋体" w:eastAsia="宋体" w:cs="宋体"/>
                <w:sz w:val="18"/>
                <w:szCs w:val="18"/>
              </w:rPr>
            </w:pPr>
            <w:r>
              <w:rPr>
                <w:rFonts w:hint="eastAsia" w:ascii="宋体" w:hAnsi="宋体" w:eastAsia="宋体" w:cs="宋体"/>
                <w:sz w:val="18"/>
                <w:szCs w:val="18"/>
              </w:rPr>
              <w:t>第一季度</w:t>
            </w:r>
          </w:p>
        </w:tc>
        <w:tc>
          <w:tcPr>
            <w:tcW w:w="1091" w:type="dxa"/>
            <w:gridSpan w:val="2"/>
            <w:noWrap w:val="0"/>
            <w:vAlign w:val="top"/>
          </w:tcPr>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61" w:type="dxa"/>
            <w:gridSpan w:val="2"/>
            <w:noWrap w:val="0"/>
            <w:vAlign w:val="top"/>
          </w:tcPr>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967" w:type="dxa"/>
            <w:gridSpan w:val="2"/>
            <w:noWrap w:val="0"/>
            <w:vAlign w:val="top"/>
          </w:tcPr>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7" w:type="dxa"/>
            <w:gridSpan w:val="2"/>
            <w:vMerge w:val="continue"/>
            <w:tcBorders>
              <w:top w:val="nil"/>
            </w:tcBorders>
            <w:noWrap w:val="0"/>
            <w:vAlign w:val="top"/>
          </w:tcPr>
          <w:p>
            <w:pPr>
              <w:rPr>
                <w:rFonts w:hint="eastAsia" w:ascii="宋体" w:hAnsi="宋体" w:eastAsia="宋体" w:cs="宋体"/>
                <w:sz w:val="18"/>
                <w:szCs w:val="18"/>
              </w:rPr>
            </w:pPr>
          </w:p>
        </w:tc>
        <w:tc>
          <w:tcPr>
            <w:tcW w:w="961" w:type="dxa"/>
            <w:vMerge w:val="continue"/>
            <w:noWrap w:val="0"/>
            <w:vAlign w:val="top"/>
          </w:tcPr>
          <w:p>
            <w:pPr>
              <w:rPr>
                <w:rFonts w:hint="eastAsia" w:ascii="宋体" w:hAnsi="宋体" w:eastAsia="宋体" w:cs="宋体"/>
                <w:sz w:val="18"/>
                <w:szCs w:val="18"/>
              </w:rPr>
            </w:pPr>
          </w:p>
        </w:tc>
        <w:tc>
          <w:tcPr>
            <w:tcW w:w="1170"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7" w:type="dxa"/>
          <w:trHeight w:val="2037" w:hRule="atLeast"/>
        </w:trPr>
        <w:tc>
          <w:tcPr>
            <w:tcW w:w="367" w:type="dxa"/>
            <w:gridSpan w:val="2"/>
            <w:tcBorders>
              <w:bottom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2334" w:type="dxa"/>
            <w:gridSpan w:val="2"/>
            <w:tcBorders>
              <w:bottom w:val="single" w:color="auto" w:sz="4" w:space="0"/>
            </w:tcBorders>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推动政务服务中心标准</w:t>
            </w:r>
            <w:r>
              <w:rPr>
                <w:rFonts w:hint="eastAsia" w:ascii="宋体" w:hAnsi="宋体" w:eastAsia="宋体" w:cs="宋体"/>
                <w:color w:val="auto"/>
                <w:sz w:val="18"/>
                <w:szCs w:val="18"/>
                <w:lang w:val="en-US" w:eastAsia="zh-CN"/>
              </w:rPr>
              <w:t>化</w:t>
            </w:r>
            <w:r>
              <w:rPr>
                <w:rFonts w:hint="eastAsia" w:ascii="宋体" w:hAnsi="宋体" w:eastAsia="宋体" w:cs="宋体"/>
                <w:color w:val="auto"/>
                <w:sz w:val="18"/>
                <w:szCs w:val="18"/>
              </w:rPr>
              <w:t>建设。提升政务服务中心硬件水平，优化“一站式”服 务功能，深入落实进驻政务服务中心事项负面清单制度，除场地限制或涉及国家秘密等情形外，原则上依申请政务服务事项均应纳入政务服务中心集中办理，各地保留的部门分中心全部纳入本级政务服务中心实行一体化管理，提供规范化服务。</w:t>
            </w:r>
          </w:p>
        </w:tc>
        <w:tc>
          <w:tcPr>
            <w:tcW w:w="616" w:type="dxa"/>
            <w:tcBorders>
              <w:bottom w:val="single" w:color="auto" w:sz="4" w:space="0"/>
            </w:tcBorders>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省政数局牵头，各市、县政府按职责分工负责</w:t>
            </w:r>
          </w:p>
        </w:tc>
        <w:tc>
          <w:tcPr>
            <w:tcW w:w="2013" w:type="dxa"/>
            <w:tcBorders>
              <w:bottom w:val="single" w:color="auto" w:sz="4" w:space="0"/>
            </w:tcBorders>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①出台《白山市政务服务分中心一体化管理办法》，进一步加强各县 (市、区) 分中心管理。         ②落实《政务服务事项负面清单制 度》。每季度梳理一次负面清单并通过政务网站对外公布。         ③落实《白山市政务服务标准化实 施意见》，提升各县 (市、区) 政务服务事项集中办理比率，除场地 限制或涉及国家秘密等情形外，均纳入政务服务中心集中办理</w:t>
            </w:r>
            <w:r>
              <w:rPr>
                <w:rFonts w:hint="eastAsia" w:ascii="宋体" w:hAnsi="宋体" w:eastAsia="宋体" w:cs="宋体"/>
                <w:color w:val="auto"/>
                <w:sz w:val="18"/>
                <w:szCs w:val="18"/>
                <w:lang w:eastAsia="zh-CN"/>
              </w:rPr>
              <w:t>。</w:t>
            </w:r>
          </w:p>
        </w:tc>
        <w:tc>
          <w:tcPr>
            <w:tcW w:w="737" w:type="dxa"/>
            <w:tcBorders>
              <w:bottom w:val="single" w:color="auto" w:sz="4" w:space="0"/>
            </w:tcBorders>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r>
              <w:rPr>
                <w:rFonts w:hint="eastAsia" w:ascii="宋体" w:hAnsi="宋体" w:eastAsia="宋体" w:cs="宋体"/>
                <w:color w:val="auto"/>
                <w:sz w:val="18"/>
                <w:szCs w:val="18"/>
              </w:rPr>
              <w:t>市政数 局牵头，</w:t>
            </w:r>
          </w:p>
          <w:p>
            <w:pPr>
              <w:rPr>
                <w:rFonts w:hint="eastAsia" w:ascii="宋体" w:hAnsi="宋体" w:eastAsia="宋体" w:cs="宋体"/>
                <w:color w:val="auto"/>
                <w:sz w:val="18"/>
                <w:szCs w:val="18"/>
              </w:rPr>
            </w:pPr>
            <w:r>
              <w:rPr>
                <w:rFonts w:hint="eastAsia" w:ascii="宋体" w:hAnsi="宋体" w:eastAsia="宋体" w:cs="宋体"/>
                <w:color w:val="auto"/>
                <w:sz w:val="18"/>
                <w:szCs w:val="18"/>
              </w:rPr>
              <w:t>各县(市、区) 政府按职责分工负责</w:t>
            </w:r>
          </w:p>
        </w:tc>
        <w:tc>
          <w:tcPr>
            <w:tcW w:w="2184" w:type="dxa"/>
            <w:tcBorders>
              <w:bottom w:val="single" w:color="auto" w:sz="4" w:space="0"/>
            </w:tcBorders>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lang w:val="en-US" w:eastAsia="zh-CN"/>
              </w:rPr>
              <w:t>落实</w:t>
            </w:r>
            <w:r>
              <w:rPr>
                <w:rFonts w:hint="eastAsia" w:ascii="宋体" w:hAnsi="宋体" w:eastAsia="宋体" w:cs="宋体"/>
                <w:color w:val="auto"/>
                <w:sz w:val="18"/>
                <w:szCs w:val="18"/>
                <w:highlight w:val="none"/>
              </w:rPr>
              <w:t xml:space="preserve">《白山市政务服务分中心一体化管理办法》，进一步加强各县(市、区)分中心管理。       </w:t>
            </w:r>
            <w:r>
              <w:rPr>
                <w:rFonts w:hint="eastAsia" w:ascii="宋体" w:hAnsi="宋体" w:eastAsia="宋体" w:cs="宋体"/>
                <w:color w:val="auto"/>
                <w:sz w:val="18"/>
                <w:szCs w:val="18"/>
              </w:rPr>
              <w:t xml:space="preserve"> </w:t>
            </w:r>
          </w:p>
          <w:p>
            <w:pPr>
              <w:rPr>
                <w:rFonts w:hint="eastAsia" w:ascii="宋体" w:hAnsi="宋体" w:eastAsia="宋体" w:cs="宋体"/>
                <w:color w:val="auto"/>
                <w:sz w:val="18"/>
                <w:szCs w:val="18"/>
              </w:rPr>
            </w:pPr>
            <w:r>
              <w:rPr>
                <w:rFonts w:hint="eastAsia" w:ascii="宋体" w:hAnsi="宋体" w:eastAsia="宋体" w:cs="宋体"/>
                <w:color w:val="auto"/>
                <w:sz w:val="18"/>
                <w:szCs w:val="18"/>
              </w:rPr>
              <w:t>②落实《政务服务事项负面清单制度》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 xml:space="preserve">每季度梳理一次负面清单并通过政务网站对外公布。    </w:t>
            </w:r>
          </w:p>
          <w:p>
            <w:pPr>
              <w:rPr>
                <w:rFonts w:hint="eastAsia" w:ascii="宋体" w:hAnsi="宋体" w:eastAsia="宋体" w:cs="宋体"/>
                <w:color w:val="auto"/>
                <w:sz w:val="18"/>
                <w:szCs w:val="18"/>
              </w:rPr>
            </w:pPr>
            <w:r>
              <w:rPr>
                <w:rFonts w:hint="eastAsia" w:ascii="宋体" w:hAnsi="宋体" w:eastAsia="宋体" w:cs="宋体"/>
                <w:color w:val="auto"/>
                <w:sz w:val="18"/>
                <w:szCs w:val="18"/>
              </w:rPr>
              <w:t>③落实《白山市政务服务标准化实施意见》，提升各</w:t>
            </w:r>
            <w:r>
              <w:rPr>
                <w:rFonts w:hint="eastAsia" w:ascii="宋体" w:hAnsi="宋体" w:eastAsia="宋体" w:cs="宋体"/>
                <w:color w:val="auto"/>
                <w:sz w:val="18"/>
                <w:szCs w:val="18"/>
                <w:lang w:val="en-US" w:eastAsia="zh-CN"/>
              </w:rPr>
              <w:t>部门</w:t>
            </w:r>
            <w:r>
              <w:rPr>
                <w:rFonts w:hint="eastAsia" w:ascii="宋体" w:hAnsi="宋体" w:eastAsia="宋体" w:cs="宋体"/>
                <w:color w:val="auto"/>
                <w:sz w:val="18"/>
                <w:szCs w:val="18"/>
              </w:rPr>
              <w:t>政务服务事项集中办理比率，除场地限制或涉及国家秘密等情形外，均纳入政务服务中心集中办理</w:t>
            </w:r>
            <w:r>
              <w:rPr>
                <w:rFonts w:hint="eastAsia" w:ascii="宋体" w:hAnsi="宋体" w:eastAsia="宋体" w:cs="宋体"/>
                <w:color w:val="auto"/>
                <w:sz w:val="18"/>
                <w:szCs w:val="18"/>
                <w:lang w:eastAsia="zh-CN"/>
              </w:rPr>
              <w:t>。</w:t>
            </w:r>
          </w:p>
          <w:p>
            <w:pPr>
              <w:rPr>
                <w:rFonts w:hint="eastAsia" w:ascii="宋体" w:hAnsi="宋体" w:eastAsia="宋体" w:cs="宋体"/>
                <w:color w:val="auto"/>
                <w:sz w:val="18"/>
                <w:szCs w:val="18"/>
              </w:rPr>
            </w:pPr>
          </w:p>
        </w:tc>
        <w:tc>
          <w:tcPr>
            <w:tcW w:w="1363"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rPr>
            </w:pPr>
            <w:r>
              <w:rPr>
                <w:rFonts w:hint="eastAsia" w:ascii="宋体" w:hAnsi="宋体" w:eastAsia="宋体" w:cs="宋体"/>
                <w:color w:val="auto"/>
                <w:sz w:val="15"/>
                <w:szCs w:val="15"/>
                <w:lang w:val="en-US" w:eastAsia="zh-CN"/>
              </w:rPr>
              <w:t>下发《关于征求政务服务中心进驻事项负面清单意见的通知》靖政协调办〔2023〕4号，按照《国务院关于加快推进政务服务标准化规范化便利化的指导意见》（国发〔2022〕5号）《吉林省贯彻落实〈国务院关于加快推进政务服务标准化规范化便利化的指导意见〉实施方案》（吉政协调组〔2022〕2号）部署要求，拟对我县部分部门政务服务中心进驻事项负面清单进行动态调整，梳理政务服务事项1625项，形成靖宇县政务服务中心事项进驻负面清单（2023年版)47项，下一步将面向社会公示。</w:t>
            </w:r>
          </w:p>
        </w:tc>
        <w:tc>
          <w:tcPr>
            <w:tcW w:w="1091" w:type="dxa"/>
            <w:gridSpan w:val="2"/>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梳理公布第二季度政务服务事项负面清单，并通过政府网站对外公布。</w:t>
            </w:r>
          </w:p>
        </w:tc>
        <w:tc>
          <w:tcPr>
            <w:tcW w:w="1161" w:type="dxa"/>
            <w:gridSpan w:val="2"/>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梳理公布第三季度政务服务事项负面清单，并通过政府网站对外公布。</w:t>
            </w:r>
          </w:p>
        </w:tc>
        <w:tc>
          <w:tcPr>
            <w:tcW w:w="967" w:type="dxa"/>
            <w:gridSpan w:val="2"/>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梳理公布第四季度政务服务事项负面清单，并通过政府网站对外公布。</w:t>
            </w:r>
          </w:p>
        </w:tc>
        <w:tc>
          <w:tcPr>
            <w:tcW w:w="937" w:type="dxa"/>
            <w:gridSpan w:val="2"/>
            <w:tcBorders>
              <w:bottom w:val="single" w:color="auto" w:sz="4" w:space="0"/>
            </w:tcBorders>
            <w:noWrap w:val="0"/>
            <w:vAlign w:val="top"/>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县政数局</w:t>
            </w:r>
          </w:p>
        </w:tc>
        <w:tc>
          <w:tcPr>
            <w:tcW w:w="961" w:type="dxa"/>
            <w:tcBorders>
              <w:bottom w:val="single" w:color="auto" w:sz="4" w:space="0"/>
            </w:tcBorders>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王宇光</w:t>
            </w:r>
          </w:p>
        </w:tc>
        <w:tc>
          <w:tcPr>
            <w:tcW w:w="1170" w:type="dxa"/>
            <w:tcBorders>
              <w:bottom w:val="single" w:color="auto" w:sz="4" w:space="0"/>
            </w:tcBorders>
            <w:noWrap w:val="0"/>
            <w:vAlign w:val="top"/>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行政审批制度改革科</w:t>
            </w:r>
          </w:p>
          <w:p>
            <w:pPr>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夏涵</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18804306342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67" w:type="dxa"/>
            <w:gridSpan w:val="2"/>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334" w:type="dxa"/>
            <w:gridSpan w:val="2"/>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16"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184"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82" w:type="dxa"/>
            <w:gridSpan w:val="7"/>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7" w:type="dxa"/>
            <w:gridSpan w:val="2"/>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6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97" w:type="dxa"/>
            <w:gridSpan w:val="2"/>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67" w:type="dxa"/>
            <w:gridSpan w:val="2"/>
            <w:vMerge w:val="continue"/>
            <w:tcBorders>
              <w:top w:val="nil"/>
            </w:tcBorders>
            <w:noWrap w:val="0"/>
            <w:textDirection w:val="tbRlV"/>
            <w:vAlign w:val="top"/>
          </w:tcPr>
          <w:p>
            <w:pPr>
              <w:jc w:val="center"/>
              <w:rPr>
                <w:rFonts w:hint="eastAsia" w:ascii="宋体" w:hAnsi="宋体" w:eastAsia="宋体" w:cs="宋体"/>
                <w:sz w:val="18"/>
                <w:szCs w:val="18"/>
                <w:lang w:eastAsia="zh-CN"/>
              </w:rPr>
            </w:pPr>
          </w:p>
        </w:tc>
        <w:tc>
          <w:tcPr>
            <w:tcW w:w="2334" w:type="dxa"/>
            <w:gridSpan w:val="2"/>
            <w:vMerge w:val="continue"/>
            <w:tcBorders>
              <w:top w:val="nil"/>
            </w:tcBorders>
            <w:noWrap w:val="0"/>
            <w:vAlign w:val="top"/>
          </w:tcPr>
          <w:p>
            <w:pPr>
              <w:rPr>
                <w:rFonts w:hint="eastAsia" w:ascii="宋体" w:hAnsi="宋体" w:eastAsia="宋体" w:cs="宋体"/>
                <w:sz w:val="18"/>
                <w:szCs w:val="18"/>
                <w:lang w:eastAsia="zh-CN"/>
              </w:rPr>
            </w:pPr>
          </w:p>
        </w:tc>
        <w:tc>
          <w:tcPr>
            <w:tcW w:w="616" w:type="dxa"/>
            <w:vMerge w:val="continue"/>
            <w:tcBorders>
              <w:top w:val="nil"/>
            </w:tcBorders>
            <w:noWrap w:val="0"/>
            <w:vAlign w:val="top"/>
          </w:tcPr>
          <w:p>
            <w:pPr>
              <w:rPr>
                <w:rFonts w:hint="eastAsia" w:ascii="宋体" w:hAnsi="宋体" w:eastAsia="宋体" w:cs="宋体"/>
                <w:sz w:val="18"/>
                <w:szCs w:val="18"/>
              </w:rPr>
            </w:pPr>
          </w:p>
        </w:tc>
        <w:tc>
          <w:tcPr>
            <w:tcW w:w="2013"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184" w:type="dxa"/>
            <w:vMerge w:val="continue"/>
            <w:noWrap w:val="0"/>
            <w:vAlign w:val="top"/>
          </w:tcPr>
          <w:p>
            <w:pPr>
              <w:rPr>
                <w:rFonts w:hint="eastAsia" w:ascii="宋体" w:hAnsi="宋体" w:eastAsia="宋体" w:cs="宋体"/>
                <w:sz w:val="18"/>
                <w:szCs w:val="18"/>
              </w:rPr>
            </w:pPr>
          </w:p>
        </w:tc>
        <w:tc>
          <w:tcPr>
            <w:tcW w:w="1363" w:type="dxa"/>
            <w:noWrap w:val="0"/>
            <w:vAlign w:val="top"/>
          </w:tcPr>
          <w:p>
            <w:pPr>
              <w:ind w:firstLine="180" w:firstLineChars="100"/>
              <w:rPr>
                <w:rFonts w:hint="eastAsia" w:ascii="宋体" w:hAnsi="宋体" w:eastAsia="宋体" w:cs="宋体"/>
                <w:sz w:val="18"/>
                <w:szCs w:val="18"/>
              </w:rPr>
            </w:pPr>
          </w:p>
          <w:p>
            <w:pPr>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第一季度</w:t>
            </w:r>
          </w:p>
        </w:tc>
        <w:tc>
          <w:tcPr>
            <w:tcW w:w="1282" w:type="dxa"/>
            <w:gridSpan w:val="3"/>
            <w:noWrap w:val="0"/>
            <w:vAlign w:val="top"/>
          </w:tcPr>
          <w:p>
            <w:pPr>
              <w:ind w:firstLine="180" w:firstLineChars="100"/>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第二季度</w:t>
            </w:r>
          </w:p>
        </w:tc>
        <w:tc>
          <w:tcPr>
            <w:tcW w:w="1023" w:type="dxa"/>
            <w:gridSpan w:val="2"/>
            <w:noWrap w:val="0"/>
            <w:vAlign w:val="top"/>
          </w:tcPr>
          <w:p>
            <w:pPr>
              <w:ind w:firstLine="180" w:firstLineChars="100"/>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第三季度</w:t>
            </w:r>
          </w:p>
        </w:tc>
        <w:tc>
          <w:tcPr>
            <w:tcW w:w="91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7" w:type="dxa"/>
            <w:gridSpan w:val="2"/>
            <w:vMerge w:val="continue"/>
            <w:tcBorders>
              <w:top w:val="nil"/>
            </w:tcBorders>
            <w:noWrap w:val="0"/>
            <w:vAlign w:val="top"/>
          </w:tcPr>
          <w:p>
            <w:pPr>
              <w:rPr>
                <w:rFonts w:hint="eastAsia" w:ascii="宋体" w:hAnsi="宋体" w:eastAsia="宋体" w:cs="宋体"/>
                <w:sz w:val="18"/>
                <w:szCs w:val="18"/>
              </w:rPr>
            </w:pPr>
          </w:p>
        </w:tc>
        <w:tc>
          <w:tcPr>
            <w:tcW w:w="961" w:type="dxa"/>
            <w:vMerge w:val="continue"/>
            <w:noWrap w:val="0"/>
            <w:vAlign w:val="top"/>
          </w:tcPr>
          <w:p>
            <w:pPr>
              <w:rPr>
                <w:rFonts w:hint="eastAsia" w:ascii="宋体" w:hAnsi="宋体" w:eastAsia="宋体" w:cs="宋体"/>
                <w:sz w:val="18"/>
                <w:szCs w:val="18"/>
              </w:rPr>
            </w:pPr>
          </w:p>
        </w:tc>
        <w:tc>
          <w:tcPr>
            <w:tcW w:w="1197" w:type="dxa"/>
            <w:gridSpan w:val="2"/>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4" w:hRule="atLeast"/>
        </w:trPr>
        <w:tc>
          <w:tcPr>
            <w:tcW w:w="367" w:type="dxa"/>
            <w:gridSpan w:val="2"/>
            <w:noWrap w:val="0"/>
            <w:vAlign w:val="top"/>
          </w:tcPr>
          <w:p>
            <w:pPr>
              <w:jc w:val="center"/>
              <w:rPr>
                <w:rFonts w:hint="eastAsia" w:ascii="宋体" w:hAnsi="宋体" w:eastAsia="宋体" w:cs="宋体"/>
                <w:sz w:val="18"/>
                <w:szCs w:val="18"/>
              </w:rPr>
            </w:pPr>
          </w:p>
          <w:p>
            <w:pPr>
              <w:jc w:val="both"/>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2334" w:type="dxa"/>
            <w:gridSpan w:val="2"/>
            <w:noWrap w:val="0"/>
            <w:vAlign w:val="top"/>
          </w:tcPr>
          <w:p>
            <w:pPr>
              <w:rPr>
                <w:rFonts w:hint="eastAsia" w:ascii="宋体" w:hAnsi="宋体" w:eastAsia="宋体" w:cs="宋体"/>
                <w:sz w:val="18"/>
                <w:szCs w:val="18"/>
              </w:rPr>
            </w:pPr>
          </w:p>
          <w:p>
            <w:pPr>
              <w:rPr>
                <w:rFonts w:hint="eastAsia" w:ascii="宋体" w:hAnsi="宋体" w:eastAsia="宋体" w:cs="宋体"/>
                <w:sz w:val="18"/>
                <w:szCs w:val="18"/>
                <w:lang w:val="en-US" w:eastAsia="zh-CN"/>
              </w:rPr>
            </w:pPr>
            <w:r>
              <w:rPr>
                <w:rFonts w:hint="eastAsia" w:ascii="宋体" w:hAnsi="宋体" w:eastAsia="宋体" w:cs="宋体"/>
                <w:sz w:val="18"/>
                <w:szCs w:val="18"/>
              </w:rPr>
              <w:t xml:space="preserve">推进全省一体化政务服务平台移动端建设。按照国家 建设标准，依托全国一体化 政务服务平台，打造我省一体化政务服务平台移动端 </w:t>
            </w:r>
            <w:r>
              <w:rPr>
                <w:rFonts w:hint="eastAsia" w:ascii="宋体" w:hAnsi="宋体" w:eastAsia="宋体" w:cs="宋体"/>
                <w:sz w:val="18"/>
                <w:szCs w:val="18"/>
                <w:lang w:val="en-US" w:eastAsia="zh-CN"/>
              </w:rPr>
              <w:t>一</w:t>
            </w:r>
            <w:r>
              <w:rPr>
                <w:rFonts w:hint="eastAsia" w:ascii="宋体" w:hAnsi="宋体" w:eastAsia="宋体" w:cs="宋体"/>
                <w:sz w:val="18"/>
                <w:szCs w:val="18"/>
              </w:rPr>
              <w:t>“吉事办”移动端，2023 年底前，实现全省移动端办 事入口统一、提供一体化 “掌上服务”。持续丰富“吉事办”移动端服务内容，推 动更多全程网办事项进驻吉林省热点事项全程网办专区。</w:t>
            </w:r>
          </w:p>
        </w:tc>
        <w:tc>
          <w:tcPr>
            <w:tcW w:w="616"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lang w:val="en-US" w:eastAsia="zh-CN"/>
              </w:rPr>
            </w:pPr>
            <w:r>
              <w:rPr>
                <w:rFonts w:hint="eastAsia" w:ascii="宋体" w:hAnsi="宋体" w:eastAsia="宋体" w:cs="宋体"/>
                <w:sz w:val="18"/>
                <w:szCs w:val="18"/>
              </w:rPr>
              <w:t>省政数 局牵头，各有关部门及各市、县政府按职责分工负责</w:t>
            </w:r>
          </w:p>
        </w:tc>
        <w:tc>
          <w:tcPr>
            <w:tcW w:w="2013" w:type="dxa"/>
            <w:noWrap w:val="0"/>
            <w:vAlign w:val="top"/>
          </w:tcPr>
          <w:p>
            <w:pPr>
              <w:rPr>
                <w:rFonts w:hint="eastAsia" w:ascii="宋体" w:hAnsi="宋体" w:eastAsia="宋体" w:cs="宋体"/>
                <w:sz w:val="18"/>
                <w:szCs w:val="18"/>
              </w:rPr>
            </w:pPr>
          </w:p>
          <w:p>
            <w:pPr>
              <w:jc w:val="both"/>
              <w:rPr>
                <w:rFonts w:hint="eastAsia" w:ascii="宋体" w:hAnsi="宋体" w:eastAsia="宋体" w:cs="宋体"/>
                <w:sz w:val="18"/>
                <w:szCs w:val="18"/>
              </w:rPr>
            </w:pPr>
          </w:p>
          <w:p>
            <w:pPr>
              <w:jc w:val="both"/>
              <w:rPr>
                <w:rFonts w:hint="eastAsia" w:ascii="宋体" w:hAnsi="宋体" w:eastAsia="宋体" w:cs="宋体"/>
                <w:sz w:val="18"/>
                <w:szCs w:val="18"/>
              </w:rPr>
            </w:pPr>
          </w:p>
          <w:p>
            <w:pPr>
              <w:jc w:val="both"/>
              <w:rPr>
                <w:rFonts w:hint="eastAsia" w:ascii="宋体" w:hAnsi="宋体" w:eastAsia="宋体" w:cs="宋体"/>
                <w:sz w:val="18"/>
                <w:szCs w:val="18"/>
              </w:rPr>
            </w:pPr>
          </w:p>
          <w:p>
            <w:pPr>
              <w:jc w:val="both"/>
              <w:rPr>
                <w:rFonts w:hint="eastAsia" w:ascii="宋体" w:hAnsi="宋体" w:eastAsia="宋体" w:cs="宋体"/>
                <w:sz w:val="18"/>
                <w:szCs w:val="18"/>
              </w:rPr>
            </w:pPr>
          </w:p>
          <w:p>
            <w:pPr>
              <w:jc w:val="both"/>
              <w:rPr>
                <w:rFonts w:hint="eastAsia" w:ascii="宋体" w:hAnsi="宋体" w:eastAsia="宋体" w:cs="宋体"/>
                <w:sz w:val="18"/>
                <w:szCs w:val="18"/>
                <w:lang w:eastAsia="zh-CN"/>
              </w:rPr>
            </w:pPr>
            <w:r>
              <w:rPr>
                <w:rFonts w:hint="eastAsia" w:ascii="宋体" w:hAnsi="宋体" w:eastAsia="宋体" w:cs="宋体"/>
                <w:sz w:val="18"/>
                <w:szCs w:val="18"/>
              </w:rPr>
              <w:t>持续丰富“吉事办”移动端“白山专区”服务内容，推动我市更多政务服务事项实现全程网办</w:t>
            </w:r>
            <w:r>
              <w:rPr>
                <w:rFonts w:hint="eastAsia" w:ascii="宋体" w:hAnsi="宋体" w:eastAsia="宋体" w:cs="宋体"/>
                <w:sz w:val="18"/>
                <w:szCs w:val="18"/>
                <w:lang w:eastAsia="zh-CN"/>
              </w:rPr>
              <w:t>。</w:t>
            </w:r>
          </w:p>
        </w:tc>
        <w:tc>
          <w:tcPr>
            <w:tcW w:w="737"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市政数局牵头，各有关部门及各县(市、区) 政府按职责分工负责</w:t>
            </w:r>
          </w:p>
        </w:tc>
        <w:tc>
          <w:tcPr>
            <w:tcW w:w="2184" w:type="dxa"/>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按照省、市政数局工作要求，持续推进此项工作。</w:t>
            </w:r>
          </w:p>
        </w:tc>
        <w:tc>
          <w:tcPr>
            <w:tcW w:w="1363"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按照省、市政数局部署，持续推进。</w:t>
            </w:r>
          </w:p>
        </w:tc>
        <w:tc>
          <w:tcPr>
            <w:tcW w:w="1282" w:type="dxa"/>
            <w:gridSpan w:val="3"/>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jc w:val="both"/>
              <w:rPr>
                <w:rFonts w:hint="eastAsia" w:ascii="宋体" w:hAnsi="宋体" w:eastAsia="宋体" w:cs="宋体"/>
                <w:sz w:val="18"/>
                <w:szCs w:val="18"/>
              </w:rPr>
            </w:pPr>
            <w:r>
              <w:rPr>
                <w:rFonts w:hint="eastAsia" w:ascii="宋体" w:hAnsi="宋体" w:eastAsia="宋体" w:cs="宋体"/>
                <w:sz w:val="18"/>
                <w:szCs w:val="18"/>
                <w:lang w:eastAsia="zh-CN"/>
              </w:rPr>
              <w:t>按照省、市政数局部署，持续推进。</w:t>
            </w:r>
          </w:p>
        </w:tc>
        <w:tc>
          <w:tcPr>
            <w:tcW w:w="1023" w:type="dxa"/>
            <w:gridSpan w:val="2"/>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jc w:val="both"/>
              <w:rPr>
                <w:rFonts w:hint="eastAsia" w:ascii="宋体" w:hAnsi="宋体" w:eastAsia="宋体" w:cs="宋体"/>
                <w:sz w:val="18"/>
                <w:szCs w:val="18"/>
              </w:rPr>
            </w:pPr>
            <w:r>
              <w:rPr>
                <w:rFonts w:hint="eastAsia" w:ascii="宋体" w:hAnsi="宋体" w:eastAsia="宋体" w:cs="宋体"/>
                <w:sz w:val="18"/>
                <w:szCs w:val="18"/>
                <w:lang w:eastAsia="zh-CN"/>
              </w:rPr>
              <w:t>按照省、市政数局部署，持续推进。</w:t>
            </w:r>
          </w:p>
        </w:tc>
        <w:tc>
          <w:tcPr>
            <w:tcW w:w="914"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jc w:val="both"/>
              <w:rPr>
                <w:rFonts w:hint="eastAsia" w:ascii="宋体" w:hAnsi="宋体" w:eastAsia="宋体" w:cs="宋体"/>
                <w:sz w:val="18"/>
                <w:szCs w:val="18"/>
              </w:rPr>
            </w:pPr>
            <w:r>
              <w:rPr>
                <w:rFonts w:hint="eastAsia" w:ascii="宋体" w:hAnsi="宋体" w:eastAsia="宋体" w:cs="宋体"/>
                <w:sz w:val="18"/>
                <w:szCs w:val="18"/>
                <w:lang w:eastAsia="zh-CN"/>
              </w:rPr>
              <w:t>按照省、市政数局部署，持续推进。</w:t>
            </w:r>
          </w:p>
        </w:tc>
        <w:tc>
          <w:tcPr>
            <w:tcW w:w="937" w:type="dxa"/>
            <w:gridSpan w:val="2"/>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lang w:eastAsia="zh-CN"/>
              </w:rPr>
            </w:pPr>
          </w:p>
          <w:p>
            <w:pP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县政数局</w:t>
            </w:r>
          </w:p>
        </w:tc>
        <w:tc>
          <w:tcPr>
            <w:tcW w:w="961" w:type="dxa"/>
            <w:noWrap w:val="0"/>
            <w:vAlign w:val="top"/>
          </w:tcPr>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王宇光</w:t>
            </w:r>
          </w:p>
        </w:tc>
        <w:tc>
          <w:tcPr>
            <w:tcW w:w="1197" w:type="dxa"/>
            <w:gridSpan w:val="2"/>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信息技术科</w:t>
            </w:r>
          </w:p>
          <w:p>
            <w:pPr>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张磊</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15844936667</w:t>
            </w:r>
          </w:p>
        </w:tc>
      </w:tr>
    </w:tbl>
    <w:p>
      <w:pPr>
        <w:rPr>
          <w:rFonts w:hint="eastAsia" w:ascii="宋体" w:hAnsi="宋体" w:eastAsia="宋体" w:cs="宋体"/>
          <w:sz w:val="18"/>
          <w:szCs w:val="18"/>
        </w:rPr>
        <w:sectPr>
          <w:pgSz w:w="16838" w:h="11906" w:orient="landscape"/>
          <w:pgMar w:top="839" w:right="1304" w:bottom="1661" w:left="1287" w:header="851" w:footer="992" w:gutter="0"/>
          <w:pgNumType w:fmt="decimal"/>
          <w:cols w:space="720" w:num="1"/>
          <w:rtlGutter w:val="0"/>
          <w:docGrid w:type="lines" w:linePitch="312" w:charSpace="0"/>
        </w:sectPr>
      </w:pPr>
    </w:p>
    <w:p>
      <w:pPr>
        <w:rPr>
          <w:rFonts w:hint="eastAsia" w:ascii="宋体" w:hAnsi="宋体" w:eastAsia="宋体" w:cs="宋体"/>
          <w:sz w:val="18"/>
          <w:szCs w:val="18"/>
        </w:rPr>
      </w:pPr>
    </w:p>
    <w:tbl>
      <w:tblPr>
        <w:tblStyle w:val="6"/>
        <w:tblW w:w="15865" w:type="dxa"/>
        <w:tblInd w:w="-8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
        <w:gridCol w:w="2283"/>
        <w:gridCol w:w="734"/>
        <w:gridCol w:w="2013"/>
        <w:gridCol w:w="737"/>
        <w:gridCol w:w="2216"/>
        <w:gridCol w:w="1150"/>
        <w:gridCol w:w="1134"/>
        <w:gridCol w:w="1100"/>
        <w:gridCol w:w="1183"/>
        <w:gridCol w:w="933"/>
        <w:gridCol w:w="94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33" w:type="dxa"/>
            <w:vMerge w:val="restart"/>
            <w:tcBorders>
              <w:bottom w:val="nil"/>
            </w:tcBorders>
            <w:noWrap w:val="0"/>
            <w:textDirection w:val="tbRlV"/>
            <w:vAlign w:val="top"/>
          </w:tcPr>
          <w:p>
            <w:pPr>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2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734"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16"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7"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3"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40"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09"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33" w:type="dxa"/>
            <w:vMerge w:val="continue"/>
            <w:tcBorders>
              <w:top w:val="nil"/>
            </w:tcBorders>
            <w:noWrap w:val="0"/>
            <w:textDirection w:val="tbRlV"/>
            <w:vAlign w:val="top"/>
          </w:tcPr>
          <w:p>
            <w:pPr>
              <w:jc w:val="center"/>
              <w:rPr>
                <w:rFonts w:hint="eastAsia" w:ascii="宋体" w:hAnsi="宋体" w:eastAsia="宋体" w:cs="宋体"/>
                <w:sz w:val="18"/>
                <w:szCs w:val="18"/>
                <w:lang w:eastAsia="zh-CN"/>
              </w:rPr>
            </w:pPr>
          </w:p>
        </w:tc>
        <w:tc>
          <w:tcPr>
            <w:tcW w:w="2283" w:type="dxa"/>
            <w:vMerge w:val="continue"/>
            <w:tcBorders>
              <w:top w:val="nil"/>
            </w:tcBorders>
            <w:noWrap w:val="0"/>
            <w:vAlign w:val="top"/>
          </w:tcPr>
          <w:p>
            <w:pPr>
              <w:rPr>
                <w:rFonts w:hint="eastAsia" w:ascii="宋体" w:hAnsi="宋体" w:eastAsia="宋体" w:cs="宋体"/>
                <w:sz w:val="18"/>
                <w:szCs w:val="18"/>
                <w:lang w:eastAsia="zh-CN"/>
              </w:rPr>
            </w:pPr>
          </w:p>
        </w:tc>
        <w:tc>
          <w:tcPr>
            <w:tcW w:w="734" w:type="dxa"/>
            <w:vMerge w:val="continue"/>
            <w:tcBorders>
              <w:top w:val="nil"/>
            </w:tcBorders>
            <w:noWrap w:val="0"/>
            <w:vAlign w:val="top"/>
          </w:tcPr>
          <w:p>
            <w:pPr>
              <w:rPr>
                <w:rFonts w:hint="eastAsia" w:ascii="宋体" w:hAnsi="宋体" w:eastAsia="宋体" w:cs="宋体"/>
                <w:sz w:val="18"/>
                <w:szCs w:val="18"/>
              </w:rPr>
            </w:pPr>
          </w:p>
        </w:tc>
        <w:tc>
          <w:tcPr>
            <w:tcW w:w="2013"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216" w:type="dxa"/>
            <w:vMerge w:val="continue"/>
            <w:noWrap w:val="0"/>
            <w:vAlign w:val="top"/>
          </w:tcPr>
          <w:p>
            <w:pPr>
              <w:rPr>
                <w:rFonts w:hint="eastAsia" w:ascii="宋体" w:hAnsi="宋体" w:eastAsia="宋体" w:cs="宋体"/>
                <w:sz w:val="18"/>
                <w:szCs w:val="18"/>
              </w:rPr>
            </w:pPr>
          </w:p>
        </w:tc>
        <w:tc>
          <w:tcPr>
            <w:tcW w:w="115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3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0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83"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3" w:type="dxa"/>
            <w:vMerge w:val="continue"/>
            <w:tcBorders>
              <w:top w:val="nil"/>
            </w:tcBorders>
            <w:noWrap w:val="0"/>
            <w:vAlign w:val="top"/>
          </w:tcPr>
          <w:p>
            <w:pPr>
              <w:rPr>
                <w:rFonts w:hint="eastAsia" w:ascii="宋体" w:hAnsi="宋体" w:eastAsia="宋体" w:cs="宋体"/>
                <w:sz w:val="18"/>
                <w:szCs w:val="18"/>
              </w:rPr>
            </w:pPr>
          </w:p>
        </w:tc>
        <w:tc>
          <w:tcPr>
            <w:tcW w:w="940" w:type="dxa"/>
            <w:vMerge w:val="continue"/>
            <w:noWrap w:val="0"/>
            <w:vAlign w:val="top"/>
          </w:tcPr>
          <w:p>
            <w:pPr>
              <w:rPr>
                <w:rFonts w:hint="eastAsia" w:ascii="宋体" w:hAnsi="宋体" w:eastAsia="宋体" w:cs="宋体"/>
                <w:sz w:val="18"/>
                <w:szCs w:val="18"/>
              </w:rPr>
            </w:pPr>
          </w:p>
        </w:tc>
        <w:tc>
          <w:tcPr>
            <w:tcW w:w="1109"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0" w:hRule="atLeast"/>
        </w:trPr>
        <w:tc>
          <w:tcPr>
            <w:tcW w:w="333"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283" w:type="dxa"/>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推动新版全流程审批系统全面应用。持续推进新版全流程审批系统和国垂、省垂、部门自建系统对接，加快新版全流程审批系统应用向乡镇(街道)和村(社区)延伸，2023年底前，全省各乡镇(街道)全部完成延伸部署，村(社区)按需接入，推进政务服务全面向基层延伸，提高城乡居民办事便利度。</w:t>
            </w:r>
          </w:p>
        </w:tc>
        <w:tc>
          <w:tcPr>
            <w:tcW w:w="734" w:type="dxa"/>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r>
              <w:rPr>
                <w:rFonts w:hint="eastAsia" w:ascii="宋体" w:hAnsi="宋体" w:eastAsia="宋体" w:cs="宋体"/>
                <w:color w:val="auto"/>
                <w:sz w:val="18"/>
                <w:szCs w:val="18"/>
              </w:rPr>
              <w:t>省政数局牵头</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各市</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县政府按职责分工负责</w:t>
            </w:r>
          </w:p>
        </w:tc>
        <w:tc>
          <w:tcPr>
            <w:tcW w:w="2013" w:type="dxa"/>
            <w:noWrap w:val="0"/>
            <w:vAlign w:val="top"/>
          </w:tcPr>
          <w:p>
            <w:pPr>
              <w:jc w:val="left"/>
              <w:rPr>
                <w:rFonts w:hint="eastAsia" w:ascii="宋体" w:hAnsi="宋体" w:eastAsia="宋体" w:cs="宋体"/>
                <w:color w:val="auto"/>
                <w:sz w:val="18"/>
                <w:szCs w:val="18"/>
              </w:rPr>
            </w:pPr>
            <w:r>
              <w:rPr>
                <w:rFonts w:hint="eastAsia" w:ascii="宋体" w:hAnsi="宋体" w:eastAsia="宋体" w:cs="宋体"/>
                <w:color w:val="auto"/>
                <w:sz w:val="18"/>
                <w:szCs w:val="18"/>
              </w:rPr>
              <w:t>①落实《白山市新版全流程审批系统基层延伸方案》，实现白山市市县乡镇 (街道)全覆盖。②为各乡镇(街道)开通受理中心人员账号。同时进行政务服务事项在新版全流程审批系统的事项配置工作。             ③出台《白山市新版全流程审批系统操作指南》，召开新版全流程审批系统操作培训会，并实地走访部分乡镇(街道)查看落实情况。</w:t>
            </w:r>
          </w:p>
        </w:tc>
        <w:tc>
          <w:tcPr>
            <w:tcW w:w="737"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市政数局牵头，各县(市、区)政府按职责分工负责</w:t>
            </w:r>
          </w:p>
        </w:tc>
        <w:tc>
          <w:tcPr>
            <w:tcW w:w="2216" w:type="dxa"/>
            <w:noWrap w:val="0"/>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按相关文件要求，落实新版全流程审批系统向基层延伸工作。</w:t>
            </w:r>
          </w:p>
        </w:tc>
        <w:tc>
          <w:tcPr>
            <w:tcW w:w="1150"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调研、配置新版全流程审批系统向村（社区）延伸事项清单，做到村（社区）一级事项统一，并向省局申请上线。</w:t>
            </w:r>
          </w:p>
        </w:tc>
        <w:tc>
          <w:tcPr>
            <w:tcW w:w="1134" w:type="dxa"/>
            <w:noWrap w:val="0"/>
            <w:vAlign w:val="top"/>
          </w:tcPr>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rPr>
            </w:pPr>
            <w:r>
              <w:rPr>
                <w:rFonts w:hint="eastAsia" w:ascii="宋体" w:hAnsi="宋体" w:eastAsia="宋体" w:cs="宋体"/>
                <w:sz w:val="18"/>
                <w:szCs w:val="18"/>
                <w:lang w:val="en-US" w:eastAsia="zh-CN"/>
              </w:rPr>
              <w:t>开展村（社区）</w:t>
            </w:r>
            <w:r>
              <w:rPr>
                <w:rFonts w:hint="eastAsia" w:ascii="宋体" w:hAnsi="宋体" w:eastAsia="宋体" w:cs="宋体"/>
                <w:sz w:val="18"/>
                <w:szCs w:val="18"/>
              </w:rPr>
              <w:t>新版全流程审批系统</w:t>
            </w:r>
            <w:r>
              <w:rPr>
                <w:rFonts w:hint="eastAsia" w:ascii="宋体" w:hAnsi="宋体" w:eastAsia="宋体" w:cs="宋体"/>
                <w:sz w:val="18"/>
                <w:szCs w:val="18"/>
                <w:lang w:val="en-US" w:eastAsia="zh-CN"/>
              </w:rPr>
              <w:t>操作培训。</w:t>
            </w:r>
          </w:p>
        </w:tc>
        <w:tc>
          <w:tcPr>
            <w:tcW w:w="1100" w:type="dxa"/>
            <w:noWrap w:val="0"/>
            <w:vAlign w:val="top"/>
          </w:tcPr>
          <w:p>
            <w:pPr>
              <w:bidi w:val="0"/>
              <w:jc w:val="left"/>
              <w:rPr>
                <w:rFonts w:hint="eastAsia" w:ascii="宋体" w:hAnsi="宋体" w:eastAsia="宋体" w:cs="宋体"/>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rPr>
            </w:pPr>
            <w:r>
              <w:rPr>
                <w:rFonts w:hint="eastAsia" w:ascii="宋体" w:hAnsi="宋体" w:eastAsia="宋体" w:cs="宋体"/>
                <w:sz w:val="18"/>
                <w:szCs w:val="18"/>
                <w:lang w:val="en-US" w:eastAsia="zh-CN"/>
              </w:rPr>
              <w:t>开展村（社区）</w:t>
            </w:r>
            <w:r>
              <w:rPr>
                <w:rFonts w:hint="eastAsia" w:ascii="宋体" w:hAnsi="宋体" w:eastAsia="宋体" w:cs="宋体"/>
                <w:sz w:val="18"/>
                <w:szCs w:val="18"/>
              </w:rPr>
              <w:t>新版全流程审批系统</w:t>
            </w:r>
            <w:r>
              <w:rPr>
                <w:rFonts w:hint="eastAsia" w:ascii="宋体" w:hAnsi="宋体" w:eastAsia="宋体" w:cs="宋体"/>
                <w:sz w:val="18"/>
                <w:szCs w:val="18"/>
                <w:lang w:val="en-US" w:eastAsia="zh-CN"/>
              </w:rPr>
              <w:t>操作培训。</w:t>
            </w:r>
          </w:p>
        </w:tc>
        <w:tc>
          <w:tcPr>
            <w:tcW w:w="1183" w:type="dxa"/>
            <w:noWrap w:val="0"/>
            <w:vAlign w:val="top"/>
          </w:tcPr>
          <w:p>
            <w:pPr>
              <w:bidi w:val="0"/>
              <w:jc w:val="left"/>
              <w:rPr>
                <w:rFonts w:hint="eastAsia" w:ascii="宋体" w:hAnsi="宋体" w:eastAsia="宋体" w:cs="宋体"/>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rPr>
            </w:pPr>
            <w:r>
              <w:rPr>
                <w:rFonts w:hint="eastAsia" w:ascii="宋体" w:hAnsi="宋体" w:eastAsia="宋体" w:cs="宋体"/>
                <w:sz w:val="18"/>
                <w:szCs w:val="18"/>
                <w:lang w:val="en-US" w:eastAsia="zh-CN"/>
              </w:rPr>
              <w:t>开展村（社区）</w:t>
            </w:r>
            <w:r>
              <w:rPr>
                <w:rFonts w:hint="eastAsia" w:ascii="宋体" w:hAnsi="宋体" w:eastAsia="宋体" w:cs="宋体"/>
                <w:sz w:val="18"/>
                <w:szCs w:val="18"/>
              </w:rPr>
              <w:t>新</w:t>
            </w:r>
            <w:r>
              <w:rPr>
                <w:rFonts w:hint="eastAsia" w:ascii="宋体" w:hAnsi="宋体" w:eastAsia="宋体" w:cs="宋体"/>
                <w:b w:val="0"/>
                <w:bCs w:val="0"/>
                <w:sz w:val="18"/>
                <w:szCs w:val="18"/>
              </w:rPr>
              <w:t>版全流程审批</w:t>
            </w:r>
            <w:r>
              <w:rPr>
                <w:rFonts w:hint="eastAsia" w:ascii="宋体" w:hAnsi="宋体" w:eastAsia="宋体" w:cs="宋体"/>
                <w:sz w:val="18"/>
                <w:szCs w:val="18"/>
              </w:rPr>
              <w:t>系统</w:t>
            </w:r>
            <w:r>
              <w:rPr>
                <w:rFonts w:hint="eastAsia" w:ascii="宋体" w:hAnsi="宋体" w:eastAsia="宋体" w:cs="宋体"/>
                <w:sz w:val="18"/>
                <w:szCs w:val="18"/>
                <w:lang w:val="en-US" w:eastAsia="zh-CN"/>
              </w:rPr>
              <w:t>操作培训。</w:t>
            </w:r>
          </w:p>
        </w:tc>
        <w:tc>
          <w:tcPr>
            <w:tcW w:w="933" w:type="dxa"/>
            <w:noWrap w:val="0"/>
            <w:vAlign w:val="top"/>
          </w:tcPr>
          <w:p>
            <w:pPr>
              <w:bidi w:val="0"/>
              <w:jc w:val="left"/>
              <w:rPr>
                <w:rFonts w:hint="eastAsia" w:ascii="宋体" w:hAnsi="宋体" w:eastAsia="宋体" w:cs="宋体"/>
                <w:b w:val="0"/>
                <w:bCs w:val="0"/>
                <w:sz w:val="18"/>
                <w:szCs w:val="18"/>
                <w:lang w:val="en-US" w:eastAsia="zh-CN"/>
              </w:rPr>
            </w:pPr>
          </w:p>
          <w:p>
            <w:pPr>
              <w:bidi w:val="0"/>
              <w:jc w:val="left"/>
              <w:rPr>
                <w:rFonts w:hint="eastAsia" w:ascii="宋体" w:hAnsi="宋体" w:eastAsia="宋体" w:cs="宋体"/>
                <w:b w:val="0"/>
                <w:bCs w:val="0"/>
                <w:sz w:val="18"/>
                <w:szCs w:val="18"/>
                <w:lang w:val="en-US" w:eastAsia="zh-CN"/>
              </w:rPr>
            </w:pPr>
          </w:p>
          <w:p>
            <w:pPr>
              <w:bidi w:val="0"/>
              <w:jc w:val="left"/>
              <w:rPr>
                <w:rFonts w:hint="eastAsia" w:ascii="宋体" w:hAnsi="宋体" w:eastAsia="宋体" w:cs="宋体"/>
                <w:b w:val="0"/>
                <w:bCs w:val="0"/>
                <w:sz w:val="18"/>
                <w:szCs w:val="18"/>
                <w:lang w:val="en-US" w:eastAsia="zh-CN"/>
              </w:rPr>
            </w:pPr>
          </w:p>
          <w:p>
            <w:pPr>
              <w:bidi w:val="0"/>
              <w:jc w:val="left"/>
              <w:rPr>
                <w:rFonts w:hint="eastAsia" w:ascii="宋体" w:hAnsi="宋体" w:eastAsia="宋体" w:cs="宋体"/>
                <w:b w:val="0"/>
                <w:bCs w:val="0"/>
                <w:sz w:val="18"/>
                <w:szCs w:val="18"/>
                <w:lang w:val="en-US" w:eastAsia="zh-CN"/>
              </w:rPr>
            </w:pPr>
          </w:p>
          <w:p>
            <w:pPr>
              <w:bidi w:val="0"/>
              <w:jc w:val="left"/>
              <w:rPr>
                <w:rFonts w:hint="eastAsia" w:ascii="宋体" w:hAnsi="宋体" w:eastAsia="宋体" w:cs="宋体"/>
                <w:b w:val="0"/>
                <w:bCs w:val="0"/>
                <w:sz w:val="18"/>
                <w:szCs w:val="18"/>
                <w:lang w:val="en-US" w:eastAsia="zh-CN"/>
              </w:rPr>
            </w:pPr>
          </w:p>
          <w:p>
            <w:pPr>
              <w:bidi w:val="0"/>
              <w:jc w:val="left"/>
              <w:rPr>
                <w:rFonts w:hint="eastAsia" w:ascii="宋体" w:hAnsi="宋体" w:eastAsia="宋体" w:cs="宋体"/>
                <w:b w:val="0"/>
                <w:bCs w:val="0"/>
                <w:sz w:val="18"/>
                <w:szCs w:val="18"/>
                <w:lang w:val="en-US" w:eastAsia="zh-CN"/>
              </w:rPr>
            </w:pPr>
          </w:p>
          <w:p>
            <w:pPr>
              <w:bidi w:val="0"/>
              <w:jc w:val="left"/>
              <w:rPr>
                <w:rFonts w:hint="eastAsia" w:ascii="宋体" w:hAnsi="宋体" w:eastAsia="宋体" w:cs="宋体"/>
                <w:sz w:val="18"/>
                <w:szCs w:val="18"/>
              </w:rPr>
            </w:pPr>
            <w:r>
              <w:rPr>
                <w:rFonts w:hint="eastAsia" w:ascii="宋体" w:hAnsi="宋体" w:eastAsia="宋体" w:cs="宋体"/>
                <w:b w:val="0"/>
                <w:bCs w:val="0"/>
                <w:sz w:val="18"/>
                <w:szCs w:val="18"/>
                <w:lang w:val="en-US" w:eastAsia="zh-CN"/>
              </w:rPr>
              <w:t>县政数局牵头，各乡镇按职责分工分责</w:t>
            </w:r>
          </w:p>
        </w:tc>
        <w:tc>
          <w:tcPr>
            <w:tcW w:w="940" w:type="dxa"/>
            <w:noWrap w:val="0"/>
            <w:vAlign w:val="top"/>
          </w:tcPr>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王宇光</w:t>
            </w:r>
          </w:p>
        </w:tc>
        <w:tc>
          <w:tcPr>
            <w:tcW w:w="110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信息技术科</w:t>
            </w:r>
          </w:p>
          <w:p>
            <w:pPr>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张磊</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15844936667</w:t>
            </w: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82" w:type="dxa"/>
        <w:tblInd w:w="-8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
        <w:gridCol w:w="317"/>
        <w:gridCol w:w="2283"/>
        <w:gridCol w:w="523"/>
        <w:gridCol w:w="2457"/>
        <w:gridCol w:w="647"/>
        <w:gridCol w:w="2073"/>
        <w:gridCol w:w="1150"/>
        <w:gridCol w:w="181"/>
        <w:gridCol w:w="936"/>
        <w:gridCol w:w="346"/>
        <w:gridCol w:w="787"/>
        <w:gridCol w:w="236"/>
        <w:gridCol w:w="914"/>
        <w:gridCol w:w="17"/>
        <w:gridCol w:w="917"/>
        <w:gridCol w:w="3"/>
        <w:gridCol w:w="13"/>
        <w:gridCol w:w="17"/>
        <w:gridCol w:w="907"/>
        <w:gridCol w:w="16"/>
        <w:gridCol w:w="8"/>
        <w:gridCol w:w="1101"/>
        <w:gridCol w:w="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339" w:hRule="atLeast"/>
        </w:trPr>
        <w:tc>
          <w:tcPr>
            <w:tcW w:w="333" w:type="dxa"/>
            <w:gridSpan w:val="2"/>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p>
        </w:tc>
        <w:tc>
          <w:tcPr>
            <w:tcW w:w="22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523"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457"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64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073"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50" w:type="dxa"/>
            <w:gridSpan w:val="7"/>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7" w:type="dxa"/>
            <w:gridSpan w:val="3"/>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61" w:type="dxa"/>
            <w:gridSpan w:val="5"/>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01"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04" w:hRule="atLeast"/>
        </w:trPr>
        <w:tc>
          <w:tcPr>
            <w:tcW w:w="333" w:type="dxa"/>
            <w:gridSpan w:val="2"/>
            <w:vMerge w:val="continue"/>
            <w:tcBorders>
              <w:top w:val="nil"/>
            </w:tcBorders>
            <w:noWrap w:val="0"/>
            <w:textDirection w:val="tbRlV"/>
            <w:vAlign w:val="top"/>
          </w:tcPr>
          <w:p>
            <w:pPr>
              <w:jc w:val="center"/>
              <w:rPr>
                <w:rFonts w:hint="eastAsia" w:ascii="宋体" w:hAnsi="宋体" w:eastAsia="宋体" w:cs="宋体"/>
                <w:sz w:val="18"/>
                <w:szCs w:val="18"/>
                <w:lang w:eastAsia="zh-CN"/>
              </w:rPr>
            </w:pPr>
          </w:p>
        </w:tc>
        <w:tc>
          <w:tcPr>
            <w:tcW w:w="2283" w:type="dxa"/>
            <w:vMerge w:val="continue"/>
            <w:tcBorders>
              <w:top w:val="nil"/>
            </w:tcBorders>
            <w:noWrap w:val="0"/>
            <w:vAlign w:val="top"/>
          </w:tcPr>
          <w:p>
            <w:pPr>
              <w:rPr>
                <w:rFonts w:hint="eastAsia" w:ascii="宋体" w:hAnsi="宋体" w:eastAsia="宋体" w:cs="宋体"/>
                <w:sz w:val="18"/>
                <w:szCs w:val="18"/>
                <w:lang w:eastAsia="zh-CN"/>
              </w:rPr>
            </w:pPr>
          </w:p>
        </w:tc>
        <w:tc>
          <w:tcPr>
            <w:tcW w:w="523" w:type="dxa"/>
            <w:vMerge w:val="continue"/>
            <w:tcBorders>
              <w:top w:val="nil"/>
            </w:tcBorders>
            <w:noWrap w:val="0"/>
            <w:vAlign w:val="top"/>
          </w:tcPr>
          <w:p>
            <w:pPr>
              <w:rPr>
                <w:rFonts w:hint="eastAsia" w:ascii="宋体" w:hAnsi="宋体" w:eastAsia="宋体" w:cs="宋体"/>
                <w:sz w:val="18"/>
                <w:szCs w:val="18"/>
              </w:rPr>
            </w:pPr>
          </w:p>
        </w:tc>
        <w:tc>
          <w:tcPr>
            <w:tcW w:w="2457" w:type="dxa"/>
            <w:vMerge w:val="continue"/>
            <w:tcBorders>
              <w:top w:val="nil"/>
            </w:tcBorders>
            <w:noWrap w:val="0"/>
            <w:vAlign w:val="top"/>
          </w:tcPr>
          <w:p>
            <w:pPr>
              <w:rPr>
                <w:rFonts w:hint="eastAsia" w:ascii="宋体" w:hAnsi="宋体" w:eastAsia="宋体" w:cs="宋体"/>
                <w:sz w:val="18"/>
                <w:szCs w:val="18"/>
              </w:rPr>
            </w:pPr>
          </w:p>
        </w:tc>
        <w:tc>
          <w:tcPr>
            <w:tcW w:w="647" w:type="dxa"/>
            <w:vMerge w:val="continue"/>
            <w:noWrap w:val="0"/>
            <w:vAlign w:val="top"/>
          </w:tcPr>
          <w:p>
            <w:pPr>
              <w:rPr>
                <w:rFonts w:hint="eastAsia" w:ascii="宋体" w:hAnsi="宋体" w:eastAsia="宋体" w:cs="宋体"/>
                <w:sz w:val="18"/>
                <w:szCs w:val="18"/>
              </w:rPr>
            </w:pPr>
          </w:p>
        </w:tc>
        <w:tc>
          <w:tcPr>
            <w:tcW w:w="2073" w:type="dxa"/>
            <w:vMerge w:val="continue"/>
            <w:noWrap w:val="0"/>
            <w:vAlign w:val="top"/>
          </w:tcPr>
          <w:p>
            <w:pPr>
              <w:rPr>
                <w:rFonts w:hint="eastAsia" w:ascii="宋体" w:hAnsi="宋体" w:eastAsia="宋体" w:cs="宋体"/>
                <w:sz w:val="18"/>
                <w:szCs w:val="18"/>
              </w:rPr>
            </w:pPr>
          </w:p>
        </w:tc>
        <w:tc>
          <w:tcPr>
            <w:tcW w:w="1331" w:type="dxa"/>
            <w:gridSpan w:val="2"/>
            <w:noWrap w:val="0"/>
            <w:vAlign w:val="top"/>
          </w:tcPr>
          <w:p>
            <w:pPr>
              <w:ind w:firstLine="180" w:firstLineChars="100"/>
              <w:rPr>
                <w:rFonts w:hint="eastAsia" w:ascii="宋体" w:hAnsi="宋体" w:eastAsia="宋体" w:cs="宋体"/>
                <w:sz w:val="18"/>
                <w:szCs w:val="18"/>
              </w:rPr>
            </w:pPr>
          </w:p>
          <w:p>
            <w:pPr>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第一季度</w:t>
            </w:r>
          </w:p>
        </w:tc>
        <w:tc>
          <w:tcPr>
            <w:tcW w:w="1282" w:type="dxa"/>
            <w:gridSpan w:val="2"/>
            <w:noWrap w:val="0"/>
            <w:vAlign w:val="top"/>
          </w:tcPr>
          <w:p>
            <w:pPr>
              <w:ind w:firstLine="180" w:firstLineChars="100"/>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第二季度</w:t>
            </w:r>
          </w:p>
        </w:tc>
        <w:tc>
          <w:tcPr>
            <w:tcW w:w="1023" w:type="dxa"/>
            <w:gridSpan w:val="2"/>
            <w:noWrap w:val="0"/>
            <w:vAlign w:val="top"/>
          </w:tcPr>
          <w:p>
            <w:pPr>
              <w:ind w:firstLine="180" w:firstLineChars="100"/>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第三季度</w:t>
            </w:r>
          </w:p>
        </w:tc>
        <w:tc>
          <w:tcPr>
            <w:tcW w:w="91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7" w:type="dxa"/>
            <w:gridSpan w:val="3"/>
            <w:vMerge w:val="continue"/>
            <w:tcBorders>
              <w:top w:val="nil"/>
            </w:tcBorders>
            <w:noWrap w:val="0"/>
            <w:vAlign w:val="top"/>
          </w:tcPr>
          <w:p>
            <w:pPr>
              <w:rPr>
                <w:rFonts w:hint="eastAsia" w:ascii="宋体" w:hAnsi="宋体" w:eastAsia="宋体" w:cs="宋体"/>
                <w:sz w:val="18"/>
                <w:szCs w:val="18"/>
              </w:rPr>
            </w:pPr>
          </w:p>
        </w:tc>
        <w:tc>
          <w:tcPr>
            <w:tcW w:w="961" w:type="dxa"/>
            <w:gridSpan w:val="5"/>
            <w:vMerge w:val="continue"/>
            <w:noWrap w:val="0"/>
            <w:vAlign w:val="top"/>
          </w:tcPr>
          <w:p>
            <w:pPr>
              <w:rPr>
                <w:rFonts w:hint="eastAsia" w:ascii="宋体" w:hAnsi="宋体" w:eastAsia="宋体" w:cs="宋体"/>
                <w:sz w:val="18"/>
                <w:szCs w:val="18"/>
              </w:rPr>
            </w:pPr>
          </w:p>
        </w:tc>
        <w:tc>
          <w:tcPr>
            <w:tcW w:w="1101"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3702" w:hRule="atLeast"/>
        </w:trPr>
        <w:tc>
          <w:tcPr>
            <w:tcW w:w="333" w:type="dxa"/>
            <w:gridSpan w:val="2"/>
            <w:tcBorders>
              <w:bottom w:val="single" w:color="auto" w:sz="4" w:space="0"/>
            </w:tcBorders>
            <w:noWrap w:val="0"/>
            <w:vAlign w:val="top"/>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283" w:type="dxa"/>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lang w:val="en-US" w:eastAsia="zh-CN"/>
              </w:rPr>
            </w:pPr>
            <w:r>
              <w:rPr>
                <w:rFonts w:hint="eastAsia" w:ascii="宋体" w:hAnsi="宋体" w:eastAsia="宋体" w:cs="宋体"/>
                <w:sz w:val="18"/>
                <w:szCs w:val="18"/>
              </w:rPr>
              <w:t>推行市场监管领域行政许可“不见面”审批。全面推广应用吉林省市场监管行政许可e窗通系统，建立规范、高效、便民的行政许可全程电子化服务体系，做到审批电子化、证照数字化、全程无纸化，全力推进市场监管领域行政许可“一网通办”“不见面审批”，便利所有市场主体开办。</w:t>
            </w:r>
          </w:p>
        </w:tc>
        <w:tc>
          <w:tcPr>
            <w:tcW w:w="523" w:type="dxa"/>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lang w:val="en-US" w:eastAsia="zh-CN"/>
              </w:rPr>
            </w:pPr>
            <w:r>
              <w:rPr>
                <w:rFonts w:hint="eastAsia" w:ascii="宋体" w:hAnsi="宋体" w:eastAsia="宋体" w:cs="宋体"/>
                <w:sz w:val="18"/>
                <w:szCs w:val="18"/>
              </w:rPr>
              <w:t>省市场监管厅负责</w:t>
            </w:r>
          </w:p>
        </w:tc>
        <w:tc>
          <w:tcPr>
            <w:tcW w:w="2457" w:type="dxa"/>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①提高企业开办“一网通办”效率，实现所有市场主体全程网办。②优化企业开办流程，减少企业开办环节。实施流程再造，实现企业 开办“一网通办、一次办成、一 日办结” 。                        ③拓展企业开办业务范围。做到审批电子化、证照数字化、全程无纸化。</w:t>
            </w:r>
          </w:p>
        </w:tc>
        <w:tc>
          <w:tcPr>
            <w:tcW w:w="647" w:type="dxa"/>
            <w:tcBorders>
              <w:bottom w:val="single" w:color="auto" w:sz="4" w:space="0"/>
            </w:tcBorders>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市市场监管局负责</w:t>
            </w:r>
          </w:p>
        </w:tc>
        <w:tc>
          <w:tcPr>
            <w:tcW w:w="2073" w:type="dxa"/>
            <w:tcBorders>
              <w:bottom w:val="single" w:color="auto" w:sz="4" w:space="0"/>
            </w:tcBorders>
            <w:noWrap w:val="0"/>
            <w:vAlign w:val="center"/>
          </w:tcPr>
          <w:p>
            <w:pPr>
              <w:rPr>
                <w:rFonts w:hint="eastAsia" w:ascii="宋体" w:hAnsi="宋体" w:eastAsia="宋体" w:cs="宋体"/>
                <w:sz w:val="18"/>
                <w:szCs w:val="18"/>
              </w:rPr>
            </w:pPr>
            <w:r>
              <w:rPr>
                <w:rFonts w:hint="eastAsia" w:ascii="宋体" w:hAnsi="宋体" w:eastAsia="宋体" w:cs="宋体"/>
                <w:sz w:val="16"/>
                <w:szCs w:val="16"/>
                <w:lang w:val="en-US" w:eastAsia="zh-CN"/>
              </w:rPr>
              <w:t>①积极推广电子营业执照在政商领域应用，提升企业开办便利度。②企业可以通过电脑、手机以及政务大厅自助服务区直接开办企业，实 现电子认证、电子签名、在线审核、 网上发照，实现企业开办“一次验 证、全网通办” 。                ③部门数据同步采集、业务同步办理、结果实时共享，提升企业开办 效率和质量。</w:t>
            </w:r>
          </w:p>
        </w:tc>
        <w:tc>
          <w:tcPr>
            <w:tcW w:w="1331" w:type="dxa"/>
            <w:gridSpan w:val="2"/>
            <w:tcBorders>
              <w:bottom w:val="single" w:color="auto" w:sz="4" w:space="0"/>
            </w:tcBorders>
            <w:noWrap w:val="0"/>
            <w:vAlign w:val="top"/>
          </w:tcPr>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z w:val="18"/>
                <w:szCs w:val="18"/>
              </w:rPr>
            </w:pPr>
            <w:r>
              <w:rPr>
                <w:rFonts w:hint="eastAsia" w:ascii="宋体" w:hAnsi="宋体" w:eastAsia="宋体" w:cs="宋体"/>
                <w:snapToGrid w:val="0"/>
                <w:color w:val="000000"/>
                <w:kern w:val="0"/>
                <w:sz w:val="18"/>
                <w:szCs w:val="18"/>
                <w:lang w:val="en-US" w:eastAsia="zh-CN"/>
              </w:rPr>
              <w:t>指导企业下载电子营业执照，企业银行开户可使用电子营业执照开户，提升企业开办便利度。</w:t>
            </w:r>
          </w:p>
        </w:tc>
        <w:tc>
          <w:tcPr>
            <w:tcW w:w="1282" w:type="dxa"/>
            <w:gridSpan w:val="2"/>
            <w:tcBorders>
              <w:bottom w:val="single" w:color="auto" w:sz="4" w:space="0"/>
            </w:tcBorders>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依托吉林省“e”窗通全程电话系统，实现企业开办一日办结，审批电话、</w:t>
            </w:r>
            <w:r>
              <w:rPr>
                <w:rFonts w:hint="eastAsia" w:ascii="宋体" w:hAnsi="宋体" w:eastAsia="宋体" w:cs="宋体"/>
                <w:sz w:val="18"/>
                <w:szCs w:val="18"/>
              </w:rPr>
              <w:t>证照数字化、全程无纸化。</w:t>
            </w:r>
          </w:p>
        </w:tc>
        <w:tc>
          <w:tcPr>
            <w:tcW w:w="1023" w:type="dxa"/>
            <w:gridSpan w:val="2"/>
            <w:tcBorders>
              <w:bottom w:val="single" w:color="auto" w:sz="4" w:space="0"/>
            </w:tcBorders>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依托吉林省“e”窗通全程电话系统，实现企业开办一日办结，审批电话、</w:t>
            </w:r>
            <w:r>
              <w:rPr>
                <w:rFonts w:hint="eastAsia" w:ascii="宋体" w:hAnsi="宋体" w:eastAsia="宋体" w:cs="宋体"/>
                <w:sz w:val="18"/>
                <w:szCs w:val="18"/>
              </w:rPr>
              <w:t>证照数字化、全程无纸化。</w:t>
            </w:r>
          </w:p>
        </w:tc>
        <w:tc>
          <w:tcPr>
            <w:tcW w:w="931" w:type="dxa"/>
            <w:gridSpan w:val="2"/>
            <w:tcBorders>
              <w:bottom w:val="single" w:color="auto" w:sz="4" w:space="0"/>
            </w:tcBorders>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依托吉林省“e”窗通全程电话系统，实现企业开办一日办结，审批电话、</w:t>
            </w:r>
            <w:r>
              <w:rPr>
                <w:rFonts w:hint="eastAsia" w:ascii="宋体" w:hAnsi="宋体" w:eastAsia="宋体" w:cs="宋体"/>
                <w:sz w:val="18"/>
                <w:szCs w:val="18"/>
              </w:rPr>
              <w:t>证照数字化、全程无纸化。</w:t>
            </w:r>
          </w:p>
        </w:tc>
        <w:tc>
          <w:tcPr>
            <w:tcW w:w="933" w:type="dxa"/>
            <w:gridSpan w:val="3"/>
            <w:tcBorders>
              <w:bottom w:val="single" w:color="auto" w:sz="4" w:space="0"/>
            </w:tcBorders>
            <w:noWrap w:val="0"/>
            <w:vAlign w:val="top"/>
          </w:tcPr>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left"/>
              <w:rPr>
                <w:rFonts w:hint="eastAsia" w:ascii="宋体" w:hAnsi="宋体" w:eastAsia="宋体" w:cs="宋体"/>
                <w:sz w:val="18"/>
                <w:szCs w:val="18"/>
                <w:lang w:val="en-US" w:eastAsia="zh-CN"/>
              </w:rPr>
            </w:pPr>
          </w:p>
          <w:p>
            <w:pPr>
              <w:bidi w:val="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县市监局</w:t>
            </w:r>
          </w:p>
        </w:tc>
        <w:tc>
          <w:tcPr>
            <w:tcW w:w="940" w:type="dxa"/>
            <w:gridSpan w:val="3"/>
            <w:tcBorders>
              <w:bottom w:val="single" w:color="auto" w:sz="4" w:space="0"/>
            </w:tcBorders>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尹发忠</w:t>
            </w:r>
          </w:p>
        </w:tc>
        <w:tc>
          <w:tcPr>
            <w:tcW w:w="1109" w:type="dxa"/>
            <w:gridSpan w:val="2"/>
            <w:tcBorders>
              <w:bottom w:val="single" w:color="auto" w:sz="4" w:space="0"/>
            </w:tcBorders>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行政审批办</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张嘉轩15500477000</w:t>
            </w:r>
          </w:p>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0" w:hRule="atLeast"/>
        </w:trPr>
        <w:tc>
          <w:tcPr>
            <w:tcW w:w="33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283"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lang w:val="en-US" w:eastAsia="zh-CN"/>
              </w:rPr>
            </w:pPr>
            <w:r>
              <w:rPr>
                <w:rFonts w:hint="eastAsia" w:ascii="宋体" w:hAnsi="宋体" w:eastAsia="宋体" w:cs="宋体"/>
                <w:sz w:val="18"/>
                <w:szCs w:val="18"/>
              </w:rPr>
              <w:t>加快推进“一件事一次办”主题集成服务。落实国家标准，持续优化业务流程、打通业务系统、强化数据共享，推动更多关联性强、办事需求量大的跨部门、跨层级政务服务事项实现“一件事一次办”，切实方便企业和群众办事创业。</w:t>
            </w:r>
          </w:p>
        </w:tc>
        <w:tc>
          <w:tcPr>
            <w:tcW w:w="523" w:type="dxa"/>
            <w:noWrap w:val="0"/>
            <w:vAlign w:val="top"/>
          </w:tcPr>
          <w:p>
            <w:pPr>
              <w:rPr>
                <w:rFonts w:hint="eastAsia" w:ascii="宋体" w:hAnsi="宋体" w:eastAsia="宋体" w:cs="宋体"/>
                <w:sz w:val="18"/>
                <w:szCs w:val="18"/>
              </w:rPr>
            </w:pPr>
          </w:p>
          <w:p>
            <w:pPr>
              <w:rPr>
                <w:rFonts w:hint="eastAsia" w:ascii="宋体" w:hAnsi="宋体" w:eastAsia="宋体" w:cs="宋体"/>
                <w:sz w:val="16"/>
                <w:szCs w:val="16"/>
              </w:rPr>
            </w:pPr>
            <w:r>
              <w:rPr>
                <w:rFonts w:hint="eastAsia" w:ascii="宋体" w:hAnsi="宋体" w:eastAsia="宋体" w:cs="宋体"/>
                <w:sz w:val="16"/>
                <w:szCs w:val="16"/>
              </w:rPr>
              <w:t>省政数 局牵头，</w:t>
            </w:r>
          </w:p>
          <w:p>
            <w:pPr>
              <w:rPr>
                <w:rFonts w:hint="eastAsia" w:ascii="宋体" w:hAnsi="宋体" w:eastAsia="宋体" w:cs="宋体"/>
                <w:sz w:val="16"/>
                <w:szCs w:val="16"/>
              </w:rPr>
            </w:pPr>
            <w:r>
              <w:rPr>
                <w:rFonts w:hint="eastAsia" w:ascii="宋体" w:hAnsi="宋体" w:eastAsia="宋体" w:cs="宋体"/>
                <w:sz w:val="16"/>
                <w:szCs w:val="16"/>
              </w:rPr>
              <w:t>各有关</w:t>
            </w:r>
          </w:p>
          <w:p>
            <w:pPr>
              <w:rPr>
                <w:rFonts w:hint="eastAsia" w:ascii="宋体" w:hAnsi="宋体" w:eastAsia="宋体" w:cs="宋体"/>
                <w:sz w:val="16"/>
                <w:szCs w:val="16"/>
              </w:rPr>
            </w:pPr>
            <w:r>
              <w:rPr>
                <w:rFonts w:hint="eastAsia" w:ascii="宋体" w:hAnsi="宋体" w:eastAsia="宋体" w:cs="宋体"/>
                <w:sz w:val="16"/>
                <w:szCs w:val="16"/>
              </w:rPr>
              <w:t>部门及</w:t>
            </w:r>
          </w:p>
          <w:p>
            <w:pPr>
              <w:rPr>
                <w:rFonts w:hint="eastAsia" w:ascii="宋体" w:hAnsi="宋体" w:eastAsia="宋体" w:cs="宋体"/>
                <w:sz w:val="16"/>
                <w:szCs w:val="16"/>
              </w:rPr>
            </w:pPr>
            <w:r>
              <w:rPr>
                <w:rFonts w:hint="eastAsia" w:ascii="宋体" w:hAnsi="宋体" w:eastAsia="宋体" w:cs="宋体"/>
                <w:sz w:val="16"/>
                <w:szCs w:val="16"/>
              </w:rPr>
              <w:t>各市、县</w:t>
            </w:r>
          </w:p>
          <w:p>
            <w:pPr>
              <w:rPr>
                <w:rFonts w:hint="eastAsia" w:ascii="宋体" w:hAnsi="宋体" w:eastAsia="宋体" w:cs="宋体"/>
                <w:sz w:val="16"/>
                <w:szCs w:val="16"/>
              </w:rPr>
            </w:pPr>
            <w:r>
              <w:rPr>
                <w:rFonts w:hint="eastAsia" w:ascii="宋体" w:hAnsi="宋体" w:eastAsia="宋体" w:cs="宋体"/>
                <w:sz w:val="16"/>
                <w:szCs w:val="16"/>
              </w:rPr>
              <w:t>政府按</w:t>
            </w:r>
          </w:p>
          <w:p>
            <w:pPr>
              <w:rPr>
                <w:rFonts w:hint="eastAsia" w:ascii="宋体" w:hAnsi="宋体" w:eastAsia="宋体" w:cs="宋体"/>
                <w:sz w:val="16"/>
                <w:szCs w:val="16"/>
              </w:rPr>
            </w:pPr>
            <w:r>
              <w:rPr>
                <w:rFonts w:hint="eastAsia" w:ascii="宋体" w:hAnsi="宋体" w:eastAsia="宋体" w:cs="宋体"/>
                <w:sz w:val="16"/>
                <w:szCs w:val="16"/>
              </w:rPr>
              <w:t>职责分</w:t>
            </w:r>
          </w:p>
          <w:p>
            <w:pPr>
              <w:rPr>
                <w:rFonts w:hint="eastAsia" w:ascii="宋体" w:hAnsi="宋体" w:eastAsia="宋体" w:cs="宋体"/>
                <w:sz w:val="18"/>
                <w:szCs w:val="18"/>
              </w:rPr>
            </w:pPr>
            <w:r>
              <w:rPr>
                <w:rFonts w:hint="eastAsia" w:ascii="宋体" w:hAnsi="宋体" w:eastAsia="宋体" w:cs="宋体"/>
                <w:sz w:val="16"/>
                <w:szCs w:val="16"/>
              </w:rPr>
              <w:t>工负责</w:t>
            </w:r>
          </w:p>
        </w:tc>
        <w:tc>
          <w:tcPr>
            <w:tcW w:w="2457" w:type="dxa"/>
            <w:noWrap w:val="0"/>
            <w:vAlign w:val="top"/>
          </w:tcPr>
          <w:p>
            <w:pPr>
              <w:rPr>
                <w:rFonts w:hint="eastAsia" w:ascii="宋体" w:hAnsi="宋体" w:eastAsia="宋体" w:cs="宋体"/>
                <w:color w:val="auto"/>
                <w:sz w:val="18"/>
                <w:szCs w:val="18"/>
              </w:rPr>
            </w:pPr>
            <w:r>
              <w:rPr>
                <w:rFonts w:hint="eastAsia" w:ascii="宋体" w:hAnsi="宋体" w:eastAsia="宋体" w:cs="宋体"/>
                <w:color w:val="auto"/>
                <w:sz w:val="15"/>
                <w:szCs w:val="15"/>
              </w:rPr>
              <w:t>①根据省政数局工作安排</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我市作 为“就业困难人员救助一件事”“失业一件事”“我要开饭店”三个一件事一次办改革试点，积极协调组织我市有关职能部门和社区基层工作人员与省政数局召开视频讨论会共同研究办事流程及所需材料。②与各部门进行线下讨论研究。梳理办事流程、办事环节及所需材料</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rPr>
              <w:t>通过走访社区进行模拟办件，确定事项所需材料及办理流程，形成流程图，正式在“吉事办”上线使用。</w:t>
            </w:r>
          </w:p>
        </w:tc>
        <w:tc>
          <w:tcPr>
            <w:tcW w:w="647" w:type="dxa"/>
            <w:noWrap w:val="0"/>
            <w:vAlign w:val="center"/>
          </w:tcPr>
          <w:p>
            <w:pPr>
              <w:rPr>
                <w:rFonts w:hint="eastAsia" w:ascii="宋体" w:hAnsi="宋体" w:eastAsia="宋体" w:cs="宋体"/>
                <w:color w:val="auto"/>
                <w:sz w:val="18"/>
                <w:szCs w:val="18"/>
              </w:rPr>
            </w:pPr>
            <w:r>
              <w:rPr>
                <w:rFonts w:hint="eastAsia" w:ascii="宋体" w:hAnsi="宋体" w:eastAsia="宋体" w:cs="宋体"/>
                <w:color w:val="auto"/>
                <w:sz w:val="18"/>
                <w:szCs w:val="18"/>
              </w:rPr>
              <w:t>市政数 局牵头，</w:t>
            </w:r>
            <w:r>
              <w:rPr>
                <w:rFonts w:hint="eastAsia" w:ascii="宋体" w:hAnsi="宋体" w:eastAsia="宋体" w:cs="宋体"/>
                <w:color w:val="auto"/>
                <w:sz w:val="18"/>
                <w:szCs w:val="18"/>
                <w:lang w:val="en-US" w:eastAsia="zh-CN"/>
              </w:rPr>
              <w:t>各有关部门及</w:t>
            </w:r>
            <w:r>
              <w:rPr>
                <w:rFonts w:hint="eastAsia" w:ascii="宋体" w:hAnsi="宋体" w:eastAsia="宋体" w:cs="宋体"/>
                <w:color w:val="auto"/>
                <w:sz w:val="18"/>
                <w:szCs w:val="18"/>
              </w:rPr>
              <w:t>各县</w:t>
            </w:r>
          </w:p>
          <w:p>
            <w:pPr>
              <w:rPr>
                <w:rFonts w:hint="eastAsia" w:ascii="宋体" w:hAnsi="宋体" w:eastAsia="宋体" w:cs="宋体"/>
                <w:color w:val="auto"/>
                <w:sz w:val="18"/>
                <w:szCs w:val="18"/>
              </w:rPr>
            </w:pPr>
            <w:r>
              <w:rPr>
                <w:rFonts w:hint="eastAsia" w:ascii="宋体" w:hAnsi="宋体" w:eastAsia="宋体" w:cs="宋体"/>
                <w:color w:val="auto"/>
                <w:sz w:val="18"/>
                <w:szCs w:val="18"/>
              </w:rPr>
              <w:t>(市、区) 政府按职责分工负责</w:t>
            </w:r>
          </w:p>
        </w:tc>
        <w:tc>
          <w:tcPr>
            <w:tcW w:w="2073" w:type="dxa"/>
            <w:noWrap w:val="0"/>
            <w:vAlign w:val="center"/>
          </w:tcPr>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落实国家标准，持续优化业务流程、打通业务系统、强化数据共享，推动更多关联性强、办事需求量大的跨部门、跨层级政务服务事项实现“一件事一次办”，切实方便企业和群众办事创业。</w:t>
            </w:r>
          </w:p>
        </w:tc>
        <w:tc>
          <w:tcPr>
            <w:tcW w:w="1331" w:type="dxa"/>
            <w:gridSpan w:val="2"/>
            <w:noWrap w:val="0"/>
            <w:vAlign w:val="top"/>
          </w:tcPr>
          <w:p>
            <w:pPr>
              <w:rPr>
                <w:rFonts w:hint="eastAsia" w:ascii="宋体" w:hAnsi="宋体" w:eastAsia="宋体" w:cs="宋体"/>
                <w:color w:val="auto"/>
                <w:sz w:val="18"/>
                <w:szCs w:val="18"/>
              </w:rPr>
            </w:pPr>
          </w:p>
          <w:p>
            <w:pPr>
              <w:bidi w:val="0"/>
              <w:jc w:val="left"/>
              <w:rPr>
                <w:rFonts w:hint="eastAsia" w:ascii="宋体" w:hAnsi="宋体" w:eastAsia="宋体" w:cs="宋体"/>
                <w:color w:val="auto"/>
                <w:sz w:val="18"/>
                <w:szCs w:val="18"/>
                <w:lang w:eastAsia="zh-CN"/>
              </w:rPr>
            </w:pPr>
          </w:p>
          <w:p>
            <w:pPr>
              <w:bidi w:val="0"/>
              <w:jc w:val="left"/>
              <w:rPr>
                <w:rFonts w:hint="eastAsia" w:ascii="宋体" w:hAnsi="宋体" w:eastAsia="宋体" w:cs="宋体"/>
                <w:color w:val="auto"/>
                <w:sz w:val="18"/>
                <w:szCs w:val="18"/>
                <w:lang w:eastAsia="zh-CN"/>
              </w:rPr>
            </w:pPr>
          </w:p>
          <w:p>
            <w:pPr>
              <w:bidi w:val="0"/>
              <w:jc w:val="left"/>
              <w:rPr>
                <w:rFonts w:hint="eastAsia" w:ascii="宋体" w:hAnsi="宋体" w:eastAsia="宋体" w:cs="宋体"/>
                <w:color w:val="auto"/>
                <w:sz w:val="18"/>
                <w:szCs w:val="18"/>
                <w:lang w:eastAsia="zh-CN"/>
              </w:rPr>
            </w:pPr>
          </w:p>
          <w:p>
            <w:pPr>
              <w:bidi w:val="0"/>
              <w:ind w:firstLine="295" w:firstLineChars="0"/>
              <w:jc w:val="left"/>
              <w:rPr>
                <w:rFonts w:hint="eastAsia" w:ascii="宋体" w:hAnsi="宋体" w:eastAsia="宋体" w:cs="宋体"/>
                <w:color w:val="auto"/>
                <w:sz w:val="18"/>
                <w:szCs w:val="18"/>
                <w:lang w:eastAsia="zh-CN"/>
              </w:rPr>
            </w:pPr>
          </w:p>
          <w:p>
            <w:pPr>
              <w:bidi w:val="0"/>
              <w:jc w:val="lef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根据省局工作安排，推动落实“一件事一次办”工作。</w:t>
            </w:r>
          </w:p>
        </w:tc>
        <w:tc>
          <w:tcPr>
            <w:tcW w:w="1282" w:type="dxa"/>
            <w:gridSpan w:val="2"/>
            <w:noWrap w:val="0"/>
            <w:vAlign w:val="top"/>
          </w:tcPr>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根据省局工作安排，推动落实“一件事一次办”工作。</w:t>
            </w:r>
          </w:p>
        </w:tc>
        <w:tc>
          <w:tcPr>
            <w:tcW w:w="1023" w:type="dxa"/>
            <w:gridSpan w:val="2"/>
            <w:noWrap w:val="0"/>
            <w:vAlign w:val="top"/>
          </w:tcPr>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根据省局工作安排，推动落实“一件事一次办”工作。</w:t>
            </w:r>
          </w:p>
        </w:tc>
        <w:tc>
          <w:tcPr>
            <w:tcW w:w="914" w:type="dxa"/>
            <w:noWrap w:val="0"/>
            <w:vAlign w:val="top"/>
          </w:tcPr>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lang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根据省局工作安排，推动落实“一件事一次办”工作。</w:t>
            </w:r>
          </w:p>
        </w:tc>
        <w:tc>
          <w:tcPr>
            <w:tcW w:w="967" w:type="dxa"/>
            <w:gridSpan w:val="5"/>
            <w:noWrap w:val="0"/>
            <w:vAlign w:val="top"/>
          </w:tcPr>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县政数局牵头，</w:t>
            </w:r>
            <w:r>
              <w:rPr>
                <w:rFonts w:hint="eastAsia" w:ascii="宋体" w:hAnsi="宋体" w:eastAsia="宋体" w:cs="宋体"/>
                <w:b w:val="0"/>
                <w:bCs w:val="0"/>
                <w:color w:val="auto"/>
                <w:sz w:val="18"/>
                <w:szCs w:val="18"/>
                <w:lang w:val="en-US" w:eastAsia="zh-CN"/>
              </w:rPr>
              <w:t>各相关部门按职责分工分责</w:t>
            </w:r>
          </w:p>
        </w:tc>
        <w:tc>
          <w:tcPr>
            <w:tcW w:w="923" w:type="dxa"/>
            <w:gridSpan w:val="2"/>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王宇光</w:t>
            </w:r>
          </w:p>
        </w:tc>
        <w:tc>
          <w:tcPr>
            <w:tcW w:w="1109" w:type="dxa"/>
            <w:gridSpan w:val="2"/>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信息技术科</w:t>
            </w:r>
          </w:p>
          <w:p>
            <w:pPr>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张磊</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15844936667</w:t>
            </w:r>
          </w:p>
          <w:p>
            <w:pPr>
              <w:rPr>
                <w:rFonts w:hint="eastAsia" w:ascii="宋体" w:hAnsi="宋体" w:eastAsia="宋体" w:cs="宋体"/>
                <w:sz w:val="18"/>
                <w:szCs w:val="18"/>
              </w:rPr>
            </w:pPr>
          </w:p>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6" w:type="dxa"/>
          <w:trHeight w:val="339" w:hRule="atLeast"/>
        </w:trPr>
        <w:tc>
          <w:tcPr>
            <w:tcW w:w="317"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2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523"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457"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64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073"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50" w:type="dxa"/>
            <w:gridSpan w:val="7"/>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4" w:type="dxa"/>
            <w:gridSpan w:val="2"/>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40" w:type="dxa"/>
            <w:gridSpan w:val="4"/>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42" w:type="dxa"/>
            <w:gridSpan w:val="4"/>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6" w:type="dxa"/>
          <w:trHeight w:val="304" w:hRule="atLeast"/>
        </w:trPr>
        <w:tc>
          <w:tcPr>
            <w:tcW w:w="317"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283" w:type="dxa"/>
            <w:vMerge w:val="continue"/>
            <w:tcBorders>
              <w:top w:val="nil"/>
            </w:tcBorders>
            <w:noWrap w:val="0"/>
            <w:vAlign w:val="top"/>
          </w:tcPr>
          <w:p>
            <w:pPr>
              <w:rPr>
                <w:rFonts w:hint="eastAsia" w:ascii="宋体" w:hAnsi="宋体" w:eastAsia="宋体" w:cs="宋体"/>
                <w:sz w:val="18"/>
                <w:szCs w:val="18"/>
                <w:lang w:eastAsia="zh-CN"/>
              </w:rPr>
            </w:pPr>
          </w:p>
        </w:tc>
        <w:tc>
          <w:tcPr>
            <w:tcW w:w="523" w:type="dxa"/>
            <w:vMerge w:val="continue"/>
            <w:tcBorders>
              <w:top w:val="nil"/>
            </w:tcBorders>
            <w:noWrap w:val="0"/>
            <w:vAlign w:val="top"/>
          </w:tcPr>
          <w:p>
            <w:pPr>
              <w:rPr>
                <w:rFonts w:hint="eastAsia" w:ascii="宋体" w:hAnsi="宋体" w:eastAsia="宋体" w:cs="宋体"/>
                <w:sz w:val="18"/>
                <w:szCs w:val="18"/>
              </w:rPr>
            </w:pPr>
          </w:p>
        </w:tc>
        <w:tc>
          <w:tcPr>
            <w:tcW w:w="2457" w:type="dxa"/>
            <w:vMerge w:val="continue"/>
            <w:tcBorders>
              <w:top w:val="nil"/>
            </w:tcBorders>
            <w:noWrap w:val="0"/>
            <w:vAlign w:val="top"/>
          </w:tcPr>
          <w:p>
            <w:pPr>
              <w:rPr>
                <w:rFonts w:hint="eastAsia" w:ascii="宋体" w:hAnsi="宋体" w:eastAsia="宋体" w:cs="宋体"/>
                <w:sz w:val="18"/>
                <w:szCs w:val="18"/>
              </w:rPr>
            </w:pPr>
          </w:p>
        </w:tc>
        <w:tc>
          <w:tcPr>
            <w:tcW w:w="647" w:type="dxa"/>
            <w:vMerge w:val="continue"/>
            <w:noWrap w:val="0"/>
            <w:vAlign w:val="top"/>
          </w:tcPr>
          <w:p>
            <w:pPr>
              <w:rPr>
                <w:rFonts w:hint="eastAsia" w:ascii="宋体" w:hAnsi="宋体" w:eastAsia="宋体" w:cs="宋体"/>
                <w:sz w:val="18"/>
                <w:szCs w:val="18"/>
              </w:rPr>
            </w:pPr>
          </w:p>
        </w:tc>
        <w:tc>
          <w:tcPr>
            <w:tcW w:w="2073" w:type="dxa"/>
            <w:vMerge w:val="continue"/>
            <w:noWrap w:val="0"/>
            <w:vAlign w:val="top"/>
          </w:tcPr>
          <w:p>
            <w:pPr>
              <w:rPr>
                <w:rFonts w:hint="eastAsia" w:ascii="宋体" w:hAnsi="宋体" w:eastAsia="宋体" w:cs="宋体"/>
                <w:sz w:val="18"/>
                <w:szCs w:val="18"/>
              </w:rPr>
            </w:pPr>
          </w:p>
        </w:tc>
        <w:tc>
          <w:tcPr>
            <w:tcW w:w="115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17" w:type="dxa"/>
            <w:gridSpan w:val="2"/>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33" w:type="dxa"/>
            <w:gridSpan w:val="2"/>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50" w:type="dxa"/>
            <w:gridSpan w:val="2"/>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4" w:type="dxa"/>
            <w:gridSpan w:val="2"/>
            <w:vMerge w:val="continue"/>
            <w:tcBorders>
              <w:top w:val="nil"/>
            </w:tcBorders>
            <w:noWrap w:val="0"/>
            <w:vAlign w:val="top"/>
          </w:tcPr>
          <w:p>
            <w:pPr>
              <w:rPr>
                <w:rFonts w:hint="eastAsia" w:ascii="宋体" w:hAnsi="宋体" w:eastAsia="宋体" w:cs="宋体"/>
                <w:sz w:val="18"/>
                <w:szCs w:val="18"/>
              </w:rPr>
            </w:pPr>
          </w:p>
        </w:tc>
        <w:tc>
          <w:tcPr>
            <w:tcW w:w="940" w:type="dxa"/>
            <w:gridSpan w:val="4"/>
            <w:vMerge w:val="continue"/>
            <w:noWrap w:val="0"/>
            <w:vAlign w:val="top"/>
          </w:tcPr>
          <w:p>
            <w:pPr>
              <w:rPr>
                <w:rFonts w:hint="eastAsia" w:ascii="宋体" w:hAnsi="宋体" w:eastAsia="宋体" w:cs="宋体"/>
                <w:sz w:val="18"/>
                <w:szCs w:val="18"/>
              </w:rPr>
            </w:pPr>
          </w:p>
        </w:tc>
        <w:tc>
          <w:tcPr>
            <w:tcW w:w="1142" w:type="dxa"/>
            <w:gridSpan w:val="4"/>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137" w:hRule="atLeast"/>
        </w:trPr>
        <w:tc>
          <w:tcPr>
            <w:tcW w:w="33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283"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深化“多税合一”申报改革。 巩固提升城镇土地使用税、 房产税、车船税、印花税、 耕地占用税、资源税、土地 增值税、契税、环境保护税、 烟叶税等“多税合一”改革成效，在全省范围内推广长春市税务局“多税合一”试点经验，进一步压减纳税人申报和缴税的次数。</w:t>
            </w:r>
          </w:p>
        </w:tc>
        <w:tc>
          <w:tcPr>
            <w:tcW w:w="523"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省税务 局负责</w:t>
            </w:r>
          </w:p>
        </w:tc>
        <w:tc>
          <w:tcPr>
            <w:tcW w:w="2457" w:type="dxa"/>
            <w:noWrap w:val="0"/>
            <w:vAlign w:val="top"/>
          </w:tcPr>
          <w:p>
            <w:pPr>
              <w:rPr>
                <w:rFonts w:hint="eastAsia" w:ascii="宋体" w:hAnsi="宋体" w:eastAsia="宋体" w:cs="宋体"/>
                <w:sz w:val="16"/>
                <w:szCs w:val="16"/>
              </w:rPr>
            </w:pPr>
          </w:p>
          <w:p>
            <w:pPr>
              <w:rPr>
                <w:rFonts w:hint="eastAsia" w:ascii="宋体" w:hAnsi="宋体" w:eastAsia="宋体" w:cs="宋体"/>
                <w:sz w:val="16"/>
                <w:szCs w:val="16"/>
              </w:rPr>
            </w:pPr>
            <w:r>
              <w:rPr>
                <w:rFonts w:hint="eastAsia" w:ascii="宋体" w:hAnsi="宋体" w:eastAsia="宋体" w:cs="宋体"/>
                <w:sz w:val="16"/>
                <w:szCs w:val="16"/>
              </w:rPr>
              <w:t xml:space="preserve">①成立相应的组织机构，加强统筹协调，研究制定符合本地实际的工作方案，细化工作任务和责任分工。 </w:t>
            </w:r>
          </w:p>
          <w:p>
            <w:pPr>
              <w:rPr>
                <w:rFonts w:hint="eastAsia" w:ascii="宋体" w:hAnsi="宋体" w:eastAsia="宋体" w:cs="宋体"/>
                <w:sz w:val="16"/>
                <w:szCs w:val="16"/>
              </w:rPr>
            </w:pPr>
            <w:r>
              <w:rPr>
                <w:rFonts w:hint="eastAsia" w:ascii="宋体" w:hAnsi="宋体" w:eastAsia="宋体" w:cs="宋体"/>
                <w:sz w:val="16"/>
                <w:szCs w:val="16"/>
              </w:rPr>
              <w:t xml:space="preserve">②按照省局统一部署和要求抓好各项工作落实，密切沟通、上下联动、有序推进，确保合并申报平稳实施。 </w:t>
            </w:r>
          </w:p>
          <w:p>
            <w:pPr>
              <w:rPr>
                <w:rFonts w:hint="eastAsia" w:ascii="宋体" w:hAnsi="宋体" w:eastAsia="宋体" w:cs="宋体"/>
                <w:sz w:val="16"/>
                <w:szCs w:val="16"/>
              </w:rPr>
            </w:pPr>
            <w:r>
              <w:rPr>
                <w:rFonts w:hint="eastAsia" w:ascii="宋体" w:hAnsi="宋体" w:eastAsia="宋体" w:cs="宋体"/>
                <w:sz w:val="16"/>
                <w:szCs w:val="16"/>
              </w:rPr>
              <w:t xml:space="preserve">③通过办税服务厅、税务征纳沟通平台、税务网站、新媒体平台等多种渠道对纳税人进行宣传，正确引 导舆论、及时回应社会关切。      </w:t>
            </w:r>
          </w:p>
          <w:p>
            <w:pPr>
              <w:rPr>
                <w:rFonts w:hint="eastAsia" w:ascii="宋体" w:hAnsi="宋体" w:eastAsia="宋体" w:cs="宋体"/>
                <w:sz w:val="18"/>
                <w:szCs w:val="18"/>
              </w:rPr>
            </w:pPr>
            <w:r>
              <w:rPr>
                <w:rFonts w:hint="eastAsia" w:ascii="宋体" w:hAnsi="宋体" w:eastAsia="宋体" w:cs="宋体"/>
                <w:sz w:val="16"/>
                <w:szCs w:val="16"/>
              </w:rPr>
              <w:t>④加强内部业务培训</w:t>
            </w:r>
            <w:r>
              <w:rPr>
                <w:rFonts w:hint="eastAsia" w:ascii="宋体" w:hAnsi="宋体" w:eastAsia="宋体" w:cs="宋体"/>
                <w:sz w:val="16"/>
                <w:szCs w:val="16"/>
                <w:lang w:eastAsia="zh-CN"/>
              </w:rPr>
              <w:t>，</w:t>
            </w:r>
            <w:r>
              <w:rPr>
                <w:rFonts w:hint="eastAsia" w:ascii="宋体" w:hAnsi="宋体" w:eastAsia="宋体" w:cs="宋体"/>
                <w:sz w:val="16"/>
                <w:szCs w:val="16"/>
              </w:rPr>
              <w:t>确保税源管理、办税服务人员及时了解合并申 报业务要求，熟练掌握系统操作，规范开展业务处理；要认真组织纳税人进行相关业务及电子税务局操作培 训辅导，确保纳税人会操作、易办理</w:t>
            </w:r>
            <w:r>
              <w:rPr>
                <w:rFonts w:hint="eastAsia" w:ascii="宋体" w:hAnsi="宋体" w:eastAsia="宋体" w:cs="宋体"/>
                <w:sz w:val="16"/>
                <w:szCs w:val="16"/>
                <w:lang w:eastAsia="zh-CN"/>
              </w:rPr>
              <w:t>，</w:t>
            </w:r>
            <w:r>
              <w:rPr>
                <w:rFonts w:hint="eastAsia" w:ascii="宋体" w:hAnsi="宋体" w:eastAsia="宋体" w:cs="宋体"/>
                <w:sz w:val="16"/>
                <w:szCs w:val="16"/>
              </w:rPr>
              <w:t>同时，要切实做好上线以后的咨询 解答工作。                      ⑤按照征期运维保障工作要求，密切关注合并申报运行情况，严格落实问题快速反应机制，确保出现问 题及时反馈、及时解决。</w:t>
            </w:r>
          </w:p>
        </w:tc>
        <w:tc>
          <w:tcPr>
            <w:tcW w:w="647" w:type="dxa"/>
            <w:noWrap w:val="0"/>
            <w:vAlign w:val="center"/>
          </w:tcPr>
          <w:p>
            <w:pPr>
              <w:rPr>
                <w:rFonts w:hint="eastAsia" w:ascii="宋体" w:hAnsi="宋体" w:eastAsia="宋体" w:cs="宋体"/>
                <w:color w:val="FF0000"/>
                <w:sz w:val="18"/>
                <w:szCs w:val="18"/>
              </w:rPr>
            </w:pPr>
            <w:r>
              <w:rPr>
                <w:rFonts w:hint="eastAsia" w:ascii="宋体" w:hAnsi="宋体" w:eastAsia="宋体" w:cs="宋体"/>
                <w:sz w:val="18"/>
                <w:szCs w:val="18"/>
              </w:rPr>
              <w:t>市税务 局负责</w:t>
            </w:r>
          </w:p>
        </w:tc>
        <w:tc>
          <w:tcPr>
            <w:tcW w:w="2073" w:type="dxa"/>
            <w:noWrap w:val="0"/>
            <w:vAlign w:val="center"/>
          </w:tcPr>
          <w:p>
            <w:pPr>
              <w:rPr>
                <w:rFonts w:hint="eastAsia"/>
                <w:sz w:val="16"/>
                <w:szCs w:val="16"/>
              </w:rPr>
            </w:pPr>
            <w:r>
              <w:rPr>
                <w:rFonts w:hint="eastAsia"/>
                <w:sz w:val="16"/>
                <w:szCs w:val="16"/>
              </w:rPr>
              <w:t>①按照省</w:t>
            </w:r>
            <w:r>
              <w:rPr>
                <w:rFonts w:hint="eastAsia"/>
                <w:sz w:val="16"/>
                <w:szCs w:val="16"/>
                <w:lang w:eastAsia="zh-CN"/>
              </w:rPr>
              <w:t>、</w:t>
            </w:r>
            <w:r>
              <w:rPr>
                <w:rFonts w:hint="eastAsia"/>
                <w:sz w:val="16"/>
                <w:szCs w:val="16"/>
                <w:lang w:val="en-US" w:eastAsia="zh-CN"/>
              </w:rPr>
              <w:t>市</w:t>
            </w:r>
            <w:r>
              <w:rPr>
                <w:rFonts w:hint="eastAsia"/>
                <w:sz w:val="16"/>
                <w:szCs w:val="16"/>
              </w:rPr>
              <w:t xml:space="preserve">局统一部署和要求抓好各项工作落实，密切沟通、上下联动、有序推进，确保合并申报平稳实施。 </w:t>
            </w:r>
          </w:p>
          <w:p>
            <w:pPr>
              <w:rPr>
                <w:rFonts w:hint="eastAsia"/>
                <w:sz w:val="16"/>
                <w:szCs w:val="16"/>
              </w:rPr>
            </w:pPr>
            <w:r>
              <w:rPr>
                <w:rFonts w:hint="eastAsia"/>
                <w:sz w:val="16"/>
                <w:szCs w:val="16"/>
              </w:rPr>
              <w:t>②</w:t>
            </w:r>
            <w:r>
              <w:rPr>
                <w:rFonts w:hint="eastAsia"/>
                <w:sz w:val="16"/>
                <w:szCs w:val="16"/>
                <w:lang w:val="en-US" w:eastAsia="zh-CN"/>
              </w:rPr>
              <w:t>按照省、市局要求</w:t>
            </w:r>
            <w:r>
              <w:rPr>
                <w:rFonts w:hint="eastAsia"/>
                <w:sz w:val="16"/>
                <w:szCs w:val="16"/>
              </w:rPr>
              <w:t xml:space="preserve">通过办税服务厅、税务征纳沟通平台、税务网站、新媒体平台等多种渠道对纳税人进行宣传，正确引导舆论、及时回应社会关切。  </w:t>
            </w:r>
          </w:p>
          <w:p>
            <w:pPr>
              <w:rPr>
                <w:rFonts w:hint="eastAsia" w:ascii="宋体" w:hAnsi="宋体" w:eastAsia="宋体" w:cs="宋体"/>
                <w:sz w:val="18"/>
                <w:szCs w:val="18"/>
                <w:lang w:eastAsia="zh-CN"/>
              </w:rPr>
            </w:pPr>
            <w:r>
              <w:rPr>
                <w:rFonts w:hint="eastAsia"/>
                <w:sz w:val="16"/>
                <w:szCs w:val="16"/>
              </w:rPr>
              <w:t>③</w:t>
            </w:r>
            <w:r>
              <w:rPr>
                <w:rFonts w:hint="eastAsia"/>
                <w:sz w:val="16"/>
                <w:szCs w:val="16"/>
                <w:lang w:val="en-US" w:eastAsia="zh-CN"/>
              </w:rPr>
              <w:t>县税务局</w:t>
            </w:r>
            <w:r>
              <w:rPr>
                <w:rFonts w:hint="eastAsia"/>
                <w:sz w:val="16"/>
                <w:szCs w:val="16"/>
              </w:rPr>
              <w:t>组织纳税人进行相关业务及电子税务局操作培训辅导，确保纳税人会操作、易办理</w:t>
            </w:r>
            <w:r>
              <w:rPr>
                <w:rFonts w:hint="eastAsia"/>
                <w:sz w:val="16"/>
                <w:szCs w:val="16"/>
                <w:lang w:eastAsia="zh-CN"/>
              </w:rPr>
              <w:t>，</w:t>
            </w:r>
            <w:r>
              <w:rPr>
                <w:rFonts w:hint="eastAsia"/>
                <w:sz w:val="16"/>
                <w:szCs w:val="16"/>
              </w:rPr>
              <w:t>同时，要切实做好上线以后的咨询解答工作                      ④</w:t>
            </w:r>
            <w:r>
              <w:rPr>
                <w:rFonts w:hint="eastAsia"/>
                <w:sz w:val="16"/>
                <w:szCs w:val="16"/>
                <w:lang w:val="en-US" w:eastAsia="zh-CN"/>
              </w:rPr>
              <w:t>县局信息部门和征管科技部门</w:t>
            </w:r>
            <w:r>
              <w:rPr>
                <w:rFonts w:hint="eastAsia"/>
                <w:sz w:val="16"/>
                <w:szCs w:val="16"/>
              </w:rPr>
              <w:t>按照征期运维保障工作要求，密切关注合并申报运行情况，严格落实问题快速反应机制，确保出现问题及时反馈、及时解决。</w:t>
            </w:r>
          </w:p>
        </w:tc>
        <w:tc>
          <w:tcPr>
            <w:tcW w:w="1150" w:type="dxa"/>
            <w:noWrap w:val="0"/>
            <w:vAlign w:val="center"/>
          </w:tcPr>
          <w:p>
            <w:pPr>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巩固“多税合一”改革成效</w:t>
            </w:r>
          </w:p>
        </w:tc>
        <w:tc>
          <w:tcPr>
            <w:tcW w:w="1117" w:type="dxa"/>
            <w:gridSpan w:val="2"/>
            <w:noWrap w:val="0"/>
            <w:vAlign w:val="center"/>
          </w:tcPr>
          <w:p>
            <w:pPr>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巩固“多税合一”改革成效</w:t>
            </w:r>
          </w:p>
        </w:tc>
        <w:tc>
          <w:tcPr>
            <w:tcW w:w="1133" w:type="dxa"/>
            <w:gridSpan w:val="2"/>
            <w:noWrap w:val="0"/>
            <w:vAlign w:val="center"/>
          </w:tcPr>
          <w:p>
            <w:pPr>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学习巩固“多税合一”</w:t>
            </w:r>
            <w:r>
              <w:rPr>
                <w:rFonts w:hint="eastAsia" w:ascii="宋体" w:hAnsi="宋体" w:eastAsia="宋体" w:cs="宋体"/>
                <w:sz w:val="18"/>
                <w:szCs w:val="18"/>
              </w:rPr>
              <w:t>试点经验</w:t>
            </w:r>
          </w:p>
        </w:tc>
        <w:tc>
          <w:tcPr>
            <w:tcW w:w="1150" w:type="dxa"/>
            <w:gridSpan w:val="2"/>
            <w:noWrap w:val="0"/>
            <w:vAlign w:val="center"/>
          </w:tcPr>
          <w:p>
            <w:pPr>
              <w:jc w:val="both"/>
              <w:rPr>
                <w:rFonts w:hint="eastAsia" w:ascii="宋体" w:hAnsi="宋体" w:eastAsia="宋体" w:cs="宋体"/>
                <w:sz w:val="18"/>
                <w:szCs w:val="18"/>
                <w:lang w:eastAsia="zh-CN"/>
              </w:rPr>
            </w:pPr>
            <w:r>
              <w:rPr>
                <w:rFonts w:hint="eastAsia" w:ascii="宋体" w:hAnsi="宋体" w:eastAsia="宋体" w:cs="宋体"/>
                <w:sz w:val="18"/>
                <w:szCs w:val="18"/>
              </w:rPr>
              <w:t>推广长春市税务局“多税合一”试点经验</w:t>
            </w:r>
          </w:p>
        </w:tc>
        <w:tc>
          <w:tcPr>
            <w:tcW w:w="967" w:type="dxa"/>
            <w:gridSpan w:val="5"/>
            <w:noWrap w:val="0"/>
            <w:vAlign w:val="center"/>
          </w:tcPr>
          <w:p>
            <w:pPr>
              <w:ind w:firstLine="180" w:firstLineChars="100"/>
              <w:jc w:val="both"/>
              <w:rPr>
                <w:rFonts w:hint="eastAsia" w:ascii="宋体" w:hAnsi="宋体" w:eastAsia="宋体" w:cs="宋体"/>
                <w:color w:val="FF0000"/>
                <w:sz w:val="18"/>
                <w:szCs w:val="18"/>
                <w:lang w:val="en-US" w:eastAsia="zh-CN"/>
              </w:rPr>
            </w:pPr>
            <w:r>
              <w:rPr>
                <w:rFonts w:hint="eastAsia" w:ascii="宋体" w:hAnsi="宋体" w:eastAsia="宋体" w:cs="宋体"/>
                <w:sz w:val="18"/>
                <w:szCs w:val="18"/>
                <w:lang w:val="en-US" w:eastAsia="zh-CN"/>
              </w:rPr>
              <w:t>县税务局</w:t>
            </w:r>
          </w:p>
        </w:tc>
        <w:tc>
          <w:tcPr>
            <w:tcW w:w="923" w:type="dxa"/>
            <w:gridSpan w:val="2"/>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展继兵</w:t>
            </w:r>
          </w:p>
        </w:tc>
        <w:tc>
          <w:tcPr>
            <w:tcW w:w="1109" w:type="dxa"/>
            <w:gridSpan w:val="2"/>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税政股</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张箐瑄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7269131</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tc>
      </w:tr>
    </w:tbl>
    <w:p>
      <w:pPr>
        <w:rPr>
          <w:rFonts w:hint="eastAsia" w:ascii="宋体" w:hAnsi="宋体" w:eastAsia="宋体" w:cs="宋体"/>
          <w:sz w:val="18"/>
          <w:szCs w:val="18"/>
        </w:rPr>
      </w:pPr>
    </w:p>
    <w:tbl>
      <w:tblPr>
        <w:tblStyle w:val="6"/>
        <w:tblW w:w="15866" w:type="dxa"/>
        <w:tblInd w:w="-8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
        <w:gridCol w:w="1730"/>
        <w:gridCol w:w="750"/>
        <w:gridCol w:w="2604"/>
        <w:gridCol w:w="600"/>
        <w:gridCol w:w="2216"/>
        <w:gridCol w:w="1150"/>
        <w:gridCol w:w="1117"/>
        <w:gridCol w:w="1133"/>
        <w:gridCol w:w="1150"/>
        <w:gridCol w:w="934"/>
        <w:gridCol w:w="940"/>
        <w:gridCol w:w="11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00"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73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750"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604"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600"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16"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5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4"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40"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42"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00"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730" w:type="dxa"/>
            <w:vMerge w:val="continue"/>
            <w:tcBorders>
              <w:top w:val="nil"/>
            </w:tcBorders>
            <w:noWrap w:val="0"/>
            <w:vAlign w:val="top"/>
          </w:tcPr>
          <w:p>
            <w:pPr>
              <w:rPr>
                <w:rFonts w:hint="eastAsia" w:ascii="宋体" w:hAnsi="宋体" w:eastAsia="宋体" w:cs="宋体"/>
                <w:sz w:val="18"/>
                <w:szCs w:val="18"/>
                <w:lang w:eastAsia="zh-CN"/>
              </w:rPr>
            </w:pPr>
          </w:p>
        </w:tc>
        <w:tc>
          <w:tcPr>
            <w:tcW w:w="750" w:type="dxa"/>
            <w:vMerge w:val="continue"/>
            <w:tcBorders>
              <w:top w:val="nil"/>
            </w:tcBorders>
            <w:noWrap w:val="0"/>
            <w:vAlign w:val="top"/>
          </w:tcPr>
          <w:p>
            <w:pPr>
              <w:rPr>
                <w:rFonts w:hint="eastAsia" w:ascii="宋体" w:hAnsi="宋体" w:eastAsia="宋体" w:cs="宋体"/>
                <w:sz w:val="18"/>
                <w:szCs w:val="18"/>
              </w:rPr>
            </w:pPr>
          </w:p>
        </w:tc>
        <w:tc>
          <w:tcPr>
            <w:tcW w:w="2604" w:type="dxa"/>
            <w:vMerge w:val="continue"/>
            <w:tcBorders>
              <w:top w:val="nil"/>
            </w:tcBorders>
            <w:noWrap w:val="0"/>
            <w:vAlign w:val="top"/>
          </w:tcPr>
          <w:p>
            <w:pPr>
              <w:rPr>
                <w:rFonts w:hint="eastAsia" w:ascii="宋体" w:hAnsi="宋体" w:eastAsia="宋体" w:cs="宋体"/>
                <w:sz w:val="18"/>
                <w:szCs w:val="18"/>
              </w:rPr>
            </w:pPr>
          </w:p>
        </w:tc>
        <w:tc>
          <w:tcPr>
            <w:tcW w:w="600" w:type="dxa"/>
            <w:vMerge w:val="continue"/>
            <w:noWrap w:val="0"/>
            <w:vAlign w:val="top"/>
          </w:tcPr>
          <w:p>
            <w:pPr>
              <w:rPr>
                <w:rFonts w:hint="eastAsia" w:ascii="宋体" w:hAnsi="宋体" w:eastAsia="宋体" w:cs="宋体"/>
                <w:sz w:val="18"/>
                <w:szCs w:val="18"/>
              </w:rPr>
            </w:pPr>
          </w:p>
        </w:tc>
        <w:tc>
          <w:tcPr>
            <w:tcW w:w="2216" w:type="dxa"/>
            <w:vMerge w:val="continue"/>
            <w:noWrap w:val="0"/>
            <w:vAlign w:val="top"/>
          </w:tcPr>
          <w:p>
            <w:pPr>
              <w:rPr>
                <w:rFonts w:hint="eastAsia" w:ascii="宋体" w:hAnsi="宋体" w:eastAsia="宋体" w:cs="宋体"/>
                <w:sz w:val="18"/>
                <w:szCs w:val="18"/>
              </w:rPr>
            </w:pPr>
          </w:p>
        </w:tc>
        <w:tc>
          <w:tcPr>
            <w:tcW w:w="115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17"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33"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5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4" w:type="dxa"/>
            <w:vMerge w:val="continue"/>
            <w:tcBorders>
              <w:top w:val="nil"/>
            </w:tcBorders>
            <w:noWrap w:val="0"/>
            <w:vAlign w:val="top"/>
          </w:tcPr>
          <w:p>
            <w:pPr>
              <w:rPr>
                <w:rFonts w:hint="eastAsia" w:ascii="宋体" w:hAnsi="宋体" w:eastAsia="宋体" w:cs="宋体"/>
                <w:sz w:val="18"/>
                <w:szCs w:val="18"/>
              </w:rPr>
            </w:pPr>
          </w:p>
        </w:tc>
        <w:tc>
          <w:tcPr>
            <w:tcW w:w="940" w:type="dxa"/>
            <w:vMerge w:val="continue"/>
            <w:noWrap w:val="0"/>
            <w:vAlign w:val="top"/>
          </w:tcPr>
          <w:p>
            <w:pPr>
              <w:rPr>
                <w:rFonts w:hint="eastAsia" w:ascii="宋体" w:hAnsi="宋体" w:eastAsia="宋体" w:cs="宋体"/>
                <w:sz w:val="18"/>
                <w:szCs w:val="18"/>
              </w:rPr>
            </w:pPr>
          </w:p>
        </w:tc>
        <w:tc>
          <w:tcPr>
            <w:tcW w:w="1142"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4" w:hRule="atLeast"/>
        </w:trPr>
        <w:tc>
          <w:tcPr>
            <w:tcW w:w="400"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30" w:type="dxa"/>
            <w:vMerge w:val="restart"/>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lang w:val="en-US" w:eastAsia="zh-CN"/>
              </w:rPr>
            </w:pPr>
            <w:r>
              <w:rPr>
                <w:rFonts w:hint="eastAsia" w:ascii="宋体" w:hAnsi="宋体" w:eastAsia="宋体" w:cs="宋体"/>
                <w:sz w:val="18"/>
                <w:szCs w:val="18"/>
              </w:rPr>
              <w:t>推动不动产登记、交易和缴纳税费“一网通办”。积极推广省不动产登记网上“一窗办事”平台应用，提升上平台服务能力</w:t>
            </w:r>
            <w:r>
              <w:rPr>
                <w:rFonts w:hint="eastAsia" w:ascii="宋体" w:hAnsi="宋体" w:eastAsia="宋体" w:cs="宋体"/>
                <w:sz w:val="18"/>
                <w:szCs w:val="18"/>
                <w:lang w:eastAsia="zh-CN"/>
              </w:rPr>
              <w:t>，</w:t>
            </w:r>
            <w:r>
              <w:rPr>
                <w:rFonts w:hint="eastAsia" w:ascii="宋体" w:hAnsi="宋体" w:eastAsia="宋体" w:cs="宋体"/>
                <w:sz w:val="18"/>
                <w:szCs w:val="18"/>
              </w:rPr>
              <w:t>推动“互联网＋不动产登记”应用。大力推广电子不动产登记证书证明，巩固不动产登记办理时间压缩成果。推进各地登记系统与省网上“一窗办事”平台对接，商品房预售抵押涉及的不动产预告登记、不动产登记资料查询、不动产抵押登记等业务实现“跨省通办”。</w:t>
            </w:r>
          </w:p>
        </w:tc>
        <w:tc>
          <w:tcPr>
            <w:tcW w:w="750" w:type="dxa"/>
            <w:vMerge w:val="restart"/>
            <w:noWrap w:val="0"/>
            <w:vAlign w:val="top"/>
          </w:tcPr>
          <w:p>
            <w:pPr>
              <w:rPr>
                <w:rFonts w:hint="eastAsia" w:ascii="宋体" w:hAnsi="宋体" w:eastAsia="宋体" w:cs="宋体"/>
                <w:sz w:val="18"/>
                <w:szCs w:val="18"/>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省自然资源厅、省税务局等部门按职责分工负责</w:t>
            </w:r>
          </w:p>
        </w:tc>
        <w:tc>
          <w:tcPr>
            <w:tcW w:w="2604" w:type="dxa"/>
            <w:noWrap w:val="0"/>
            <w:vAlign w:val="top"/>
          </w:tcPr>
          <w:p>
            <w:pPr>
              <w:jc w:val="left"/>
              <w:rPr>
                <w:rFonts w:hint="eastAsia" w:ascii="宋体" w:hAnsi="宋体" w:eastAsia="宋体" w:cs="宋体"/>
                <w:sz w:val="16"/>
                <w:szCs w:val="16"/>
              </w:rPr>
            </w:pPr>
          </w:p>
          <w:p>
            <w:pPr>
              <w:jc w:val="left"/>
              <w:rPr>
                <w:rFonts w:hint="eastAsia" w:ascii="宋体" w:hAnsi="宋体" w:eastAsia="宋体" w:cs="宋体"/>
                <w:sz w:val="16"/>
                <w:szCs w:val="16"/>
              </w:rPr>
            </w:pPr>
          </w:p>
          <w:p>
            <w:pPr>
              <w:jc w:val="left"/>
              <w:rPr>
                <w:rFonts w:hint="eastAsia" w:ascii="宋体" w:hAnsi="宋体" w:eastAsia="宋体" w:cs="宋体"/>
                <w:sz w:val="18"/>
                <w:szCs w:val="18"/>
              </w:rPr>
            </w:pPr>
            <w:r>
              <w:rPr>
                <w:rFonts w:hint="eastAsia" w:ascii="宋体" w:hAnsi="宋体" w:eastAsia="宋体" w:cs="宋体"/>
                <w:sz w:val="16"/>
                <w:szCs w:val="16"/>
              </w:rPr>
              <w:t>①推广不动产登记资料查询服务，设立自助查询服务机</w:t>
            </w:r>
            <w:r>
              <w:rPr>
                <w:rFonts w:hint="eastAsia" w:ascii="宋体" w:hAnsi="宋体" w:eastAsia="宋体" w:cs="宋体"/>
                <w:sz w:val="16"/>
                <w:szCs w:val="16"/>
                <w:lang w:eastAsia="zh-CN"/>
              </w:rPr>
              <w:t>，</w:t>
            </w:r>
            <w:r>
              <w:rPr>
                <w:rFonts w:hint="eastAsia" w:ascii="宋体" w:hAnsi="宋体" w:eastAsia="宋体" w:cs="宋体"/>
                <w:sz w:val="16"/>
                <w:szCs w:val="16"/>
              </w:rPr>
              <w:t>市民办理查询及打印服务时，本人持有效身份 证进行刷证、验证人脸后即可进行相关查询及打印服务，实现“不动产登记资料自助查询”。②持续稳固不动产登记提升行动成果，经过流程再造和材料精减，时间进一步压缩，环节进一步优化，使登记财产服务更加精准。</w:t>
            </w:r>
          </w:p>
        </w:tc>
        <w:tc>
          <w:tcPr>
            <w:tcW w:w="600"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市自然 资源局、 市税务局等部门按职责分工负责</w:t>
            </w:r>
          </w:p>
        </w:tc>
        <w:tc>
          <w:tcPr>
            <w:tcW w:w="2216" w:type="dxa"/>
            <w:noWrap w:val="0"/>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持续稳固不动产登记提升行动成果，经过流程再造和材料精减，时间进一步压缩，环节进一步优化，使登记财产服务更加精准。</w:t>
            </w:r>
          </w:p>
        </w:tc>
        <w:tc>
          <w:tcPr>
            <w:tcW w:w="1150"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6"/>
                <w:szCs w:val="16"/>
              </w:rPr>
            </w:pPr>
            <w:r>
              <w:rPr>
                <w:rFonts w:hint="eastAsia" w:ascii="宋体" w:hAnsi="宋体" w:eastAsia="宋体" w:cs="宋体"/>
                <w:sz w:val="16"/>
                <w:szCs w:val="16"/>
                <w:lang w:val="en-US" w:eastAsia="zh-CN"/>
              </w:rPr>
              <w:t>开展不动产登记业务培训，培训内容按照问题导向、贴近需求的原则， 对企业、群众办理不动产</w:t>
            </w:r>
          </w:p>
          <w:p>
            <w:pPr>
              <w:rPr>
                <w:rFonts w:hint="eastAsia" w:ascii="宋体" w:hAnsi="宋体" w:eastAsia="宋体" w:cs="宋体"/>
                <w:sz w:val="16"/>
                <w:szCs w:val="16"/>
              </w:rPr>
            </w:pPr>
            <w:r>
              <w:rPr>
                <w:rFonts w:hint="eastAsia" w:ascii="宋体" w:hAnsi="宋体" w:eastAsia="宋体" w:cs="宋体"/>
                <w:sz w:val="16"/>
                <w:szCs w:val="16"/>
                <w:lang w:val="en-US" w:eastAsia="zh-CN"/>
              </w:rPr>
              <w:t>登记过程中遇</w:t>
            </w:r>
          </w:p>
          <w:p>
            <w:pPr>
              <w:rPr>
                <w:rFonts w:hint="eastAsia" w:ascii="宋体" w:hAnsi="宋体" w:eastAsia="宋体" w:cs="宋体"/>
                <w:sz w:val="18"/>
                <w:szCs w:val="18"/>
              </w:rPr>
            </w:pPr>
            <w:r>
              <w:rPr>
                <w:rFonts w:hint="eastAsia" w:ascii="宋体" w:hAnsi="宋体" w:eastAsia="宋体" w:cs="宋体"/>
                <w:sz w:val="16"/>
                <w:szCs w:val="16"/>
                <w:lang w:val="en-US" w:eastAsia="zh-CN"/>
              </w:rPr>
              <w:t>到的疑难问题进行全面深入剖析。</w:t>
            </w:r>
          </w:p>
        </w:tc>
        <w:tc>
          <w:tcPr>
            <w:tcW w:w="1117" w:type="dxa"/>
            <w:noWrap w:val="0"/>
            <w:vAlign w:val="top"/>
          </w:tcPr>
          <w:p>
            <w:pPr>
              <w:rPr>
                <w:rFonts w:hint="eastAsia" w:ascii="宋体" w:hAnsi="宋体" w:eastAsia="宋体" w:cs="宋体"/>
                <w:sz w:val="18"/>
                <w:szCs w:val="18"/>
              </w:rPr>
            </w:pPr>
            <w:r>
              <w:rPr>
                <w:rFonts w:hint="eastAsia" w:ascii="宋体" w:hAnsi="宋体" w:eastAsia="宋体" w:cs="宋体"/>
                <w:sz w:val="16"/>
                <w:szCs w:val="16"/>
                <w:lang w:val="en-US" w:eastAsia="zh-CN"/>
              </w:rPr>
              <w:t>在原有不动产登记“立等可取” 的基础上，进一 步对不动产登记事项进行流程再造，按照“依法依规、不重不漏” 标准，重新梳理材料受理清单， 对不动产登记时限再压缩，提高办事效率</w:t>
            </w:r>
            <w:r>
              <w:rPr>
                <w:rFonts w:hint="eastAsia" w:ascii="宋体" w:hAnsi="宋体" w:eastAsia="宋体" w:cs="宋体"/>
                <w:sz w:val="18"/>
                <w:szCs w:val="18"/>
                <w:lang w:val="en-US" w:eastAsia="zh-CN"/>
              </w:rPr>
              <w:t xml:space="preserve">。 </w:t>
            </w:r>
          </w:p>
        </w:tc>
        <w:tc>
          <w:tcPr>
            <w:tcW w:w="113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与税务部门配 </w:t>
            </w:r>
          </w:p>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合，加强沟通 </w:t>
            </w:r>
          </w:p>
          <w:p>
            <w:pPr>
              <w:rPr>
                <w:rFonts w:hint="eastAsia" w:ascii="宋体" w:hAnsi="宋体" w:eastAsia="宋体" w:cs="宋体"/>
                <w:sz w:val="18"/>
                <w:szCs w:val="18"/>
              </w:rPr>
            </w:pPr>
            <w:r>
              <w:rPr>
                <w:rFonts w:hint="eastAsia" w:ascii="宋体" w:hAnsi="宋体" w:eastAsia="宋体" w:cs="宋体"/>
                <w:sz w:val="16"/>
                <w:szCs w:val="16"/>
                <w:lang w:val="en-US" w:eastAsia="zh-CN"/>
              </w:rPr>
              <w:t>协作，实现“互联网+不动产登记”，进一步实现“一网通办、一次办结”，切实提高行政服务效能。</w:t>
            </w:r>
          </w:p>
        </w:tc>
        <w:tc>
          <w:tcPr>
            <w:tcW w:w="1150"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结归纳年度优化营商环境工作经验，不断深化决策部署，召开年度工作研讨会，并形成总结报告，总结亮点工作，扎实推进我县优化营商环境相关工作。 </w:t>
            </w:r>
          </w:p>
          <w:p>
            <w:pPr>
              <w:rPr>
                <w:rFonts w:hint="eastAsia" w:ascii="宋体" w:hAnsi="宋体" w:eastAsia="宋体" w:cs="宋体"/>
                <w:sz w:val="18"/>
                <w:szCs w:val="18"/>
              </w:rPr>
            </w:pPr>
          </w:p>
        </w:tc>
        <w:tc>
          <w:tcPr>
            <w:tcW w:w="934"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县自然资源局、 县税务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局等部门按</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职责分工负责 </w:t>
            </w:r>
          </w:p>
          <w:p>
            <w:pPr>
              <w:rPr>
                <w:rFonts w:hint="eastAsia" w:ascii="宋体" w:hAnsi="宋体" w:eastAsia="宋体" w:cs="宋体"/>
                <w:sz w:val="18"/>
                <w:szCs w:val="18"/>
              </w:rPr>
            </w:pPr>
          </w:p>
        </w:tc>
        <w:tc>
          <w:tcPr>
            <w:tcW w:w="940"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井延涛</w:t>
            </w:r>
          </w:p>
        </w:tc>
        <w:tc>
          <w:tcPr>
            <w:tcW w:w="1142"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登记中心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巩庆波18643950066</w:t>
            </w: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4" w:hRule="atLeast"/>
        </w:trPr>
        <w:tc>
          <w:tcPr>
            <w:tcW w:w="400" w:type="dxa"/>
            <w:vMerge w:val="continue"/>
            <w:noWrap w:val="0"/>
            <w:vAlign w:val="center"/>
          </w:tcPr>
          <w:p>
            <w:pPr>
              <w:rPr>
                <w:rFonts w:hint="eastAsia" w:ascii="宋体" w:hAnsi="宋体" w:eastAsia="宋体" w:cs="宋体"/>
                <w:sz w:val="18"/>
                <w:szCs w:val="18"/>
                <w:lang w:val="en-US" w:eastAsia="zh-CN"/>
              </w:rPr>
            </w:pPr>
          </w:p>
        </w:tc>
        <w:tc>
          <w:tcPr>
            <w:tcW w:w="1730" w:type="dxa"/>
            <w:vMerge w:val="continue"/>
            <w:noWrap w:val="0"/>
            <w:vAlign w:val="top"/>
          </w:tcPr>
          <w:p>
            <w:pPr>
              <w:rPr>
                <w:rFonts w:hint="eastAsia" w:ascii="宋体" w:hAnsi="宋体" w:eastAsia="宋体" w:cs="宋体"/>
                <w:sz w:val="18"/>
                <w:szCs w:val="18"/>
                <w:lang w:val="en-US" w:eastAsia="zh-CN"/>
              </w:rPr>
            </w:pPr>
          </w:p>
        </w:tc>
        <w:tc>
          <w:tcPr>
            <w:tcW w:w="750" w:type="dxa"/>
            <w:vMerge w:val="continue"/>
            <w:noWrap w:val="0"/>
            <w:vAlign w:val="top"/>
          </w:tcPr>
          <w:p>
            <w:pPr>
              <w:rPr>
                <w:rFonts w:hint="eastAsia" w:ascii="宋体" w:hAnsi="宋体" w:eastAsia="宋体" w:cs="宋体"/>
                <w:sz w:val="18"/>
                <w:szCs w:val="18"/>
              </w:rPr>
            </w:pPr>
          </w:p>
        </w:tc>
        <w:tc>
          <w:tcPr>
            <w:tcW w:w="2604" w:type="dxa"/>
            <w:noWrap w:val="0"/>
            <w:vAlign w:val="top"/>
          </w:tcPr>
          <w:p>
            <w:pPr>
              <w:jc w:val="left"/>
              <w:rPr>
                <w:rFonts w:hint="eastAsia" w:ascii="宋体" w:hAnsi="宋体" w:eastAsia="宋体" w:cs="宋体"/>
                <w:sz w:val="18"/>
                <w:szCs w:val="18"/>
              </w:rPr>
            </w:pPr>
            <w:r>
              <w:rPr>
                <w:rFonts w:hint="eastAsia" w:ascii="宋体" w:hAnsi="宋体" w:eastAsia="宋体" w:cs="宋体"/>
                <w:sz w:val="15"/>
                <w:szCs w:val="15"/>
              </w:rPr>
              <w:t>①在进一步对“金三系统”相关功能完善的基础上，按职责分工开展和落实省不动产登记网上“一窗办事”平台应用，全力宣传和推广“互联网＋不动产登记”应用，实现不动产登记、交易和缴税费“一网通办”。②开通“一窗办事”平台，加强对纳税人宣传辅导，积极引导纳税人使用网络平台办理相关业务。做好业务培训，提高业务办理人员对“一窗办事”平台操做技能③进一步压缩办税时限，推动不动产交易便利化持续深入，按要求开展不动产交易相关业务实现“全市通办”“跨省通办”。</w:t>
            </w:r>
          </w:p>
        </w:tc>
        <w:tc>
          <w:tcPr>
            <w:tcW w:w="600"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市自然 资源局、 市税务局等部门按职责分</w:t>
            </w:r>
          </w:p>
          <w:p>
            <w:pPr>
              <w:rPr>
                <w:rFonts w:hint="eastAsia" w:ascii="宋体" w:hAnsi="宋体" w:eastAsia="宋体" w:cs="宋体"/>
                <w:sz w:val="18"/>
                <w:szCs w:val="18"/>
              </w:rPr>
            </w:pPr>
            <w:r>
              <w:rPr>
                <w:rFonts w:hint="eastAsia" w:ascii="宋体" w:hAnsi="宋体" w:eastAsia="宋体" w:cs="宋体"/>
                <w:sz w:val="18"/>
                <w:szCs w:val="18"/>
              </w:rPr>
              <w:t>负责</w:t>
            </w:r>
          </w:p>
        </w:tc>
        <w:tc>
          <w:tcPr>
            <w:tcW w:w="2216" w:type="dxa"/>
            <w:noWrap w:val="0"/>
            <w:vAlign w:val="center"/>
          </w:tcPr>
          <w:p>
            <w:pPr>
              <w:jc w:val="both"/>
              <w:rPr>
                <w:rFonts w:hint="eastAsia" w:ascii="宋体" w:hAnsi="宋体" w:eastAsia="宋体" w:cs="宋体"/>
                <w:sz w:val="18"/>
                <w:szCs w:val="18"/>
                <w:lang w:eastAsia="zh-CN"/>
              </w:rPr>
            </w:pPr>
            <w:r>
              <w:rPr>
                <w:rFonts w:hint="eastAsia" w:ascii="宋体" w:hAnsi="宋体" w:eastAsia="宋体" w:cs="宋体"/>
                <w:sz w:val="18"/>
                <w:szCs w:val="18"/>
              </w:rPr>
              <w:t>①</w:t>
            </w:r>
            <w:r>
              <w:rPr>
                <w:rFonts w:hint="eastAsia" w:ascii="宋体" w:hAnsi="宋体" w:eastAsia="宋体" w:cs="宋体"/>
                <w:sz w:val="18"/>
                <w:szCs w:val="18"/>
                <w:lang w:val="en-US" w:eastAsia="zh-CN"/>
              </w:rPr>
              <w:t>按照省市局要</w:t>
            </w:r>
            <w:r>
              <w:rPr>
                <w:rFonts w:hint="eastAsia" w:ascii="宋体" w:hAnsi="宋体" w:eastAsia="宋体" w:cs="宋体"/>
                <w:sz w:val="18"/>
                <w:szCs w:val="18"/>
              </w:rPr>
              <w:t>全力宣传和推广“互 联网＋不动产登记”应用，实现不动产登记、交易和缴税费“一网通办” 。                      ②做好 业务培训，提高业务办理人员对“一 窗办事”平台操做技能</w:t>
            </w:r>
            <w:r>
              <w:rPr>
                <w:rFonts w:hint="eastAsia" w:ascii="宋体" w:hAnsi="宋体" w:eastAsia="宋体" w:cs="宋体"/>
                <w:sz w:val="18"/>
                <w:szCs w:val="18"/>
                <w:lang w:eastAsia="zh-CN"/>
              </w:rPr>
              <w:t>。</w:t>
            </w:r>
          </w:p>
          <w:p>
            <w:pPr>
              <w:jc w:val="both"/>
              <w:rPr>
                <w:rFonts w:hint="eastAsia" w:ascii="宋体" w:hAnsi="宋体" w:eastAsia="宋体" w:cs="宋体"/>
                <w:sz w:val="18"/>
                <w:szCs w:val="18"/>
                <w:lang w:val="en-US" w:eastAsia="zh-CN"/>
              </w:rPr>
            </w:pPr>
            <w:r>
              <w:rPr>
                <w:rFonts w:hint="eastAsia" w:ascii="宋体" w:hAnsi="宋体" w:eastAsia="宋体" w:cs="宋体"/>
                <w:sz w:val="18"/>
                <w:szCs w:val="18"/>
              </w:rPr>
              <w:t>③</w:t>
            </w:r>
            <w:r>
              <w:rPr>
                <w:rFonts w:hint="eastAsia" w:ascii="宋体" w:hAnsi="宋体" w:eastAsia="宋体" w:cs="宋体"/>
                <w:sz w:val="18"/>
                <w:szCs w:val="18"/>
                <w:lang w:val="en-US" w:eastAsia="zh-CN"/>
              </w:rPr>
              <w:t>按照省市局要求</w:t>
            </w:r>
            <w:r>
              <w:rPr>
                <w:rFonts w:hint="eastAsia" w:ascii="宋体" w:hAnsi="宋体" w:eastAsia="宋体" w:cs="宋体"/>
                <w:sz w:val="18"/>
                <w:szCs w:val="18"/>
              </w:rPr>
              <w:t>进一步压缩办税时限，推动不动产交易便利化持续深入，按要求开展不动产交易相关业务实现“全市通办”“跨省通办”。</w:t>
            </w:r>
          </w:p>
        </w:tc>
        <w:tc>
          <w:tcPr>
            <w:tcW w:w="1150" w:type="dxa"/>
            <w:noWrap w:val="0"/>
            <w:vAlign w:val="center"/>
          </w:tcPr>
          <w:p>
            <w:pPr>
              <w:jc w:val="both"/>
              <w:rPr>
                <w:rFonts w:hint="eastAsia" w:ascii="宋体" w:hAnsi="宋体" w:eastAsia="宋体" w:cs="宋体"/>
                <w:snapToGrid w:val="0"/>
                <w:color w:val="000000"/>
                <w:kern w:val="0"/>
                <w:sz w:val="18"/>
                <w:szCs w:val="18"/>
                <w:lang w:eastAsia="zh-CN"/>
              </w:rPr>
            </w:pPr>
            <w:r>
              <w:rPr>
                <w:rFonts w:hint="eastAsia" w:ascii="宋体" w:hAnsi="宋体" w:eastAsia="宋体" w:cs="宋体"/>
                <w:sz w:val="18"/>
                <w:szCs w:val="18"/>
                <w:lang w:val="en-US" w:eastAsia="zh-CN"/>
              </w:rPr>
              <w:t>按照省市局要求</w:t>
            </w:r>
            <w:r>
              <w:rPr>
                <w:rFonts w:hint="eastAsia" w:ascii="宋体" w:hAnsi="宋体" w:eastAsia="宋体" w:cs="宋体"/>
                <w:sz w:val="18"/>
                <w:szCs w:val="18"/>
              </w:rPr>
              <w:t>全力宣传和推广“互 联网＋不动产登记”应用</w:t>
            </w:r>
            <w:r>
              <w:rPr>
                <w:rFonts w:hint="eastAsia" w:ascii="宋体" w:hAnsi="宋体" w:eastAsia="宋体" w:cs="宋体"/>
                <w:sz w:val="18"/>
                <w:szCs w:val="18"/>
                <w:lang w:eastAsia="zh-CN"/>
              </w:rPr>
              <w:t>。</w:t>
            </w:r>
          </w:p>
        </w:tc>
        <w:tc>
          <w:tcPr>
            <w:tcW w:w="1117" w:type="dxa"/>
            <w:noWrap w:val="0"/>
            <w:vAlign w:val="center"/>
          </w:tcPr>
          <w:p>
            <w:pPr>
              <w:jc w:val="both"/>
              <w:rPr>
                <w:rFonts w:hint="eastAsia" w:ascii="宋体" w:hAnsi="宋体" w:eastAsia="宋体" w:cs="宋体"/>
                <w:snapToGrid w:val="0"/>
                <w:color w:val="000000"/>
                <w:kern w:val="0"/>
                <w:sz w:val="18"/>
                <w:szCs w:val="18"/>
              </w:rPr>
            </w:pPr>
            <w:r>
              <w:rPr>
                <w:rFonts w:hint="eastAsia" w:ascii="宋体" w:hAnsi="宋体" w:eastAsia="宋体" w:cs="宋体"/>
                <w:sz w:val="18"/>
                <w:szCs w:val="18"/>
                <w:lang w:val="en-US" w:eastAsia="zh-CN"/>
              </w:rPr>
              <w:t>按照省市局要求</w:t>
            </w:r>
            <w:r>
              <w:rPr>
                <w:rFonts w:hint="eastAsia" w:ascii="宋体" w:hAnsi="宋体" w:eastAsia="宋体" w:cs="宋体"/>
                <w:sz w:val="18"/>
                <w:szCs w:val="18"/>
              </w:rPr>
              <w:t>全力宣传和推广“互 联网＋不动产登记”应用</w:t>
            </w:r>
            <w:r>
              <w:rPr>
                <w:rFonts w:hint="eastAsia" w:ascii="宋体" w:hAnsi="宋体" w:eastAsia="宋体" w:cs="宋体"/>
                <w:sz w:val="18"/>
                <w:szCs w:val="18"/>
                <w:lang w:eastAsia="zh-CN"/>
              </w:rPr>
              <w:t>。</w:t>
            </w:r>
          </w:p>
        </w:tc>
        <w:tc>
          <w:tcPr>
            <w:tcW w:w="1133" w:type="dxa"/>
            <w:noWrap w:val="0"/>
            <w:vAlign w:val="center"/>
          </w:tcPr>
          <w:p>
            <w:pPr>
              <w:jc w:val="left"/>
              <w:rPr>
                <w:rFonts w:hint="eastAsia" w:ascii="宋体" w:hAnsi="宋体" w:eastAsia="宋体" w:cs="宋体"/>
                <w:sz w:val="18"/>
                <w:szCs w:val="18"/>
              </w:rPr>
            </w:pPr>
          </w:p>
          <w:p>
            <w:pPr>
              <w:jc w:val="left"/>
              <w:rPr>
                <w:rFonts w:hint="eastAsia" w:ascii="宋体" w:hAnsi="宋体" w:eastAsia="宋体" w:cs="宋体"/>
                <w:sz w:val="18"/>
                <w:szCs w:val="18"/>
                <w:lang w:eastAsia="zh-CN"/>
              </w:rPr>
            </w:pPr>
            <w:r>
              <w:rPr>
                <w:rFonts w:hint="eastAsia" w:ascii="宋体" w:hAnsi="宋体" w:eastAsia="宋体" w:cs="宋体"/>
                <w:sz w:val="18"/>
                <w:szCs w:val="18"/>
              </w:rPr>
              <w:t>做好业务培训，提高业务办理人员对“一 窗办事”平台操做技能</w:t>
            </w:r>
            <w:r>
              <w:rPr>
                <w:rFonts w:hint="eastAsia" w:ascii="宋体" w:hAnsi="宋体" w:eastAsia="宋体" w:cs="宋体"/>
                <w:sz w:val="18"/>
                <w:szCs w:val="18"/>
                <w:lang w:eastAsia="zh-CN"/>
              </w:rPr>
              <w:t>。</w:t>
            </w:r>
          </w:p>
          <w:p>
            <w:pPr>
              <w:jc w:val="both"/>
              <w:rPr>
                <w:rFonts w:hint="eastAsia" w:ascii="宋体" w:hAnsi="宋体" w:eastAsia="宋体" w:cs="宋体"/>
                <w:snapToGrid w:val="0"/>
                <w:color w:val="000000"/>
                <w:kern w:val="0"/>
                <w:sz w:val="18"/>
                <w:szCs w:val="18"/>
              </w:rPr>
            </w:pPr>
          </w:p>
        </w:tc>
        <w:tc>
          <w:tcPr>
            <w:tcW w:w="1150" w:type="dxa"/>
            <w:noWrap w:val="0"/>
            <w:vAlign w:val="center"/>
          </w:tcPr>
          <w:p>
            <w:pPr>
              <w:jc w:val="both"/>
              <w:rPr>
                <w:rFonts w:hint="eastAsia" w:ascii="宋体" w:hAnsi="宋体" w:eastAsia="宋体" w:cs="宋体"/>
                <w:sz w:val="18"/>
                <w:szCs w:val="18"/>
                <w:lang w:val="en-US" w:eastAsia="zh-CN"/>
              </w:rPr>
            </w:pPr>
          </w:p>
          <w:p>
            <w:pPr>
              <w:jc w:val="both"/>
              <w:rPr>
                <w:rFonts w:hint="eastAsia" w:ascii="宋体" w:hAnsi="宋体" w:eastAsia="宋体" w:cs="宋体"/>
                <w:snapToGrid w:val="0"/>
                <w:color w:val="000000"/>
                <w:kern w:val="0"/>
                <w:sz w:val="18"/>
                <w:szCs w:val="18"/>
                <w:lang w:eastAsia="zh-CN"/>
              </w:rPr>
            </w:pPr>
            <w:r>
              <w:rPr>
                <w:rFonts w:hint="eastAsia" w:ascii="宋体" w:hAnsi="宋体" w:eastAsia="宋体" w:cs="宋体"/>
                <w:sz w:val="18"/>
                <w:szCs w:val="18"/>
                <w:lang w:val="en-US" w:eastAsia="zh-CN"/>
              </w:rPr>
              <w:t>按照省市局要求</w:t>
            </w:r>
            <w:r>
              <w:rPr>
                <w:rFonts w:hint="eastAsia" w:ascii="宋体" w:hAnsi="宋体" w:eastAsia="宋体" w:cs="宋体"/>
                <w:sz w:val="18"/>
                <w:szCs w:val="18"/>
              </w:rPr>
              <w:t>进一步压缩办税时限，推动不动产交易便利化持续深入</w:t>
            </w:r>
            <w:r>
              <w:rPr>
                <w:rFonts w:hint="eastAsia" w:ascii="宋体" w:hAnsi="宋体" w:eastAsia="宋体" w:cs="宋体"/>
                <w:sz w:val="18"/>
                <w:szCs w:val="18"/>
                <w:lang w:eastAsia="zh-CN"/>
              </w:rPr>
              <w:t>。</w:t>
            </w:r>
          </w:p>
        </w:tc>
        <w:tc>
          <w:tcPr>
            <w:tcW w:w="934"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县税务局</w:t>
            </w:r>
          </w:p>
        </w:tc>
        <w:tc>
          <w:tcPr>
            <w:tcW w:w="940" w:type="dxa"/>
            <w:noWrap w:val="0"/>
            <w:vAlign w:val="center"/>
          </w:tcPr>
          <w:p>
            <w:pPr>
              <w:ind w:firstLine="180" w:firstLineChars="100"/>
              <w:jc w:val="both"/>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展继兵</w:t>
            </w:r>
          </w:p>
        </w:tc>
        <w:tc>
          <w:tcPr>
            <w:tcW w:w="1142"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税政股</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张箐瑄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7269131</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napToGrid w:val="0"/>
                <w:color w:val="000000"/>
                <w:kern w:val="0"/>
                <w:sz w:val="18"/>
                <w:szCs w:val="18"/>
              </w:rPr>
            </w:pPr>
          </w:p>
        </w:tc>
      </w:tr>
    </w:tbl>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031"/>
        <w:gridCol w:w="832"/>
        <w:gridCol w:w="2168"/>
        <w:gridCol w:w="653"/>
        <w:gridCol w:w="2538"/>
        <w:gridCol w:w="1187"/>
        <w:gridCol w:w="1009"/>
        <w:gridCol w:w="1050"/>
        <w:gridCol w:w="982"/>
        <w:gridCol w:w="917"/>
        <w:gridCol w:w="973"/>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66"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031"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832"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168"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65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538"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228"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17"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366"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031" w:type="dxa"/>
            <w:vMerge w:val="continue"/>
            <w:tcBorders>
              <w:top w:val="nil"/>
            </w:tcBorders>
            <w:noWrap w:val="0"/>
            <w:vAlign w:val="top"/>
          </w:tcPr>
          <w:p>
            <w:pPr>
              <w:rPr>
                <w:rFonts w:hint="eastAsia" w:ascii="宋体" w:hAnsi="宋体" w:eastAsia="宋体" w:cs="宋体"/>
                <w:sz w:val="18"/>
                <w:szCs w:val="18"/>
                <w:lang w:eastAsia="zh-CN"/>
              </w:rPr>
            </w:pPr>
          </w:p>
        </w:tc>
        <w:tc>
          <w:tcPr>
            <w:tcW w:w="832" w:type="dxa"/>
            <w:vMerge w:val="continue"/>
            <w:tcBorders>
              <w:top w:val="nil"/>
            </w:tcBorders>
            <w:noWrap w:val="0"/>
            <w:vAlign w:val="top"/>
          </w:tcPr>
          <w:p>
            <w:pPr>
              <w:rPr>
                <w:rFonts w:hint="eastAsia" w:ascii="宋体" w:hAnsi="宋体" w:eastAsia="宋体" w:cs="宋体"/>
                <w:sz w:val="18"/>
                <w:szCs w:val="18"/>
              </w:rPr>
            </w:pPr>
          </w:p>
        </w:tc>
        <w:tc>
          <w:tcPr>
            <w:tcW w:w="2168" w:type="dxa"/>
            <w:vMerge w:val="continue"/>
            <w:tcBorders>
              <w:top w:val="nil"/>
            </w:tcBorders>
            <w:noWrap w:val="0"/>
            <w:vAlign w:val="top"/>
          </w:tcPr>
          <w:p>
            <w:pPr>
              <w:rPr>
                <w:rFonts w:hint="eastAsia" w:ascii="宋体" w:hAnsi="宋体" w:eastAsia="宋体" w:cs="宋体"/>
                <w:sz w:val="18"/>
                <w:szCs w:val="18"/>
              </w:rPr>
            </w:pPr>
          </w:p>
        </w:tc>
        <w:tc>
          <w:tcPr>
            <w:tcW w:w="653" w:type="dxa"/>
            <w:vMerge w:val="continue"/>
            <w:noWrap w:val="0"/>
            <w:vAlign w:val="top"/>
          </w:tcPr>
          <w:p>
            <w:pPr>
              <w:rPr>
                <w:rFonts w:hint="eastAsia" w:ascii="宋体" w:hAnsi="宋体" w:eastAsia="宋体" w:cs="宋体"/>
                <w:sz w:val="18"/>
                <w:szCs w:val="18"/>
              </w:rPr>
            </w:pPr>
          </w:p>
        </w:tc>
        <w:tc>
          <w:tcPr>
            <w:tcW w:w="2538" w:type="dxa"/>
            <w:vMerge w:val="continue"/>
            <w:noWrap w:val="0"/>
            <w:vAlign w:val="top"/>
          </w:tcPr>
          <w:p>
            <w:pPr>
              <w:rPr>
                <w:rFonts w:hint="eastAsia" w:ascii="宋体" w:hAnsi="宋体" w:eastAsia="宋体" w:cs="宋体"/>
                <w:sz w:val="18"/>
                <w:szCs w:val="18"/>
              </w:rPr>
            </w:pPr>
          </w:p>
        </w:tc>
        <w:tc>
          <w:tcPr>
            <w:tcW w:w="1187"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009"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05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982"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17" w:type="dxa"/>
            <w:vMerge w:val="continue"/>
            <w:tcBorders>
              <w:top w:val="nil"/>
            </w:tcBorders>
            <w:noWrap w:val="0"/>
            <w:vAlign w:val="top"/>
          </w:tcPr>
          <w:p>
            <w:pPr>
              <w:rPr>
                <w:rFonts w:hint="eastAsia" w:ascii="宋体" w:hAnsi="宋体" w:eastAsia="宋体" w:cs="宋体"/>
                <w:sz w:val="18"/>
                <w:szCs w:val="18"/>
              </w:rPr>
            </w:pPr>
          </w:p>
        </w:tc>
        <w:tc>
          <w:tcPr>
            <w:tcW w:w="973"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2" w:hRule="atLeast"/>
        </w:trPr>
        <w:tc>
          <w:tcPr>
            <w:tcW w:w="36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031"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持续推进实施“多测合一”。 做好“多测合一”系统保障及政策推广工作。不断优化整合测绘测量事项，推进成果沿用共享，实现一个测绘事项委托一次，同一测绘成果提交一次。</w:t>
            </w:r>
          </w:p>
        </w:tc>
        <w:tc>
          <w:tcPr>
            <w:tcW w:w="832"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省自然 资源厅、省住建厅、省政</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数局等部门按职责分工负责</w:t>
            </w:r>
          </w:p>
        </w:tc>
        <w:tc>
          <w:tcPr>
            <w:tcW w:w="2168" w:type="dxa"/>
            <w:noWrap w:val="0"/>
            <w:vAlign w:val="top"/>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①按照上级部门指导意见，对我市测绘行业开展“多测合一”培训工作。                           ②对有需要的企事业单位办事人员进行宣传推广，扩大影响。</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③积极响应省政府和省自然资源厅相关文件要求，鼓励测绘单位加入中介超市，形成良性竞争完善市场体系。</w:t>
            </w:r>
          </w:p>
        </w:tc>
        <w:tc>
          <w:tcPr>
            <w:tcW w:w="65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市自然 资源局、市住建局、市政数局等部门按职责分工负责</w:t>
            </w:r>
          </w:p>
        </w:tc>
        <w:tc>
          <w:tcPr>
            <w:tcW w:w="2538"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①按照上级部门指导意见，对我县测绘行业开展“多测合一”培训工作。</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②对有需要的企事业单位办事人员进行宣传推广，扩大影响。</w:t>
            </w:r>
          </w:p>
          <w:p>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③积极响应省政府和省自然资源厅、市自然资源局相关文件要求，鼓励测绘单位加入中介超市，形成良性竞争完善市场体系。</w:t>
            </w:r>
          </w:p>
        </w:tc>
        <w:tc>
          <w:tcPr>
            <w:tcW w:w="118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 xml:space="preserve">按照“非禁即入” 的市场准入原则， 破除行业垄断，建立开放、公平、高效的“多测合一” 测绘服务市场。 </w:t>
            </w:r>
          </w:p>
        </w:tc>
        <w:tc>
          <w:tcPr>
            <w:tcW w:w="1009" w:type="dxa"/>
            <w:noWrap w:val="0"/>
            <w:vAlign w:val="top"/>
          </w:tcPr>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推动“多测合一” 业务全程网办模式，并实行痕迹管理，全过程业务办理可追溯。</w:t>
            </w:r>
          </w:p>
          <w:p>
            <w:pPr>
              <w:jc w:val="left"/>
              <w:rPr>
                <w:rFonts w:hint="eastAsia" w:ascii="宋体" w:hAnsi="宋体" w:eastAsia="宋体" w:cs="宋体"/>
                <w:sz w:val="18"/>
                <w:szCs w:val="18"/>
              </w:rPr>
            </w:pPr>
          </w:p>
        </w:tc>
        <w:tc>
          <w:tcPr>
            <w:tcW w:w="1050" w:type="dxa"/>
            <w:noWrap w:val="0"/>
            <w:vAlign w:val="top"/>
          </w:tcPr>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加强对“网上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测绘超市”服 </w:t>
            </w:r>
          </w:p>
          <w:p>
            <w:pPr>
              <w:jc w:val="left"/>
              <w:rPr>
                <w:rFonts w:hint="eastAsia" w:ascii="宋体" w:hAnsi="宋体" w:eastAsia="宋体" w:cs="宋体"/>
                <w:sz w:val="18"/>
                <w:szCs w:val="18"/>
              </w:rPr>
            </w:pPr>
            <w:r>
              <w:rPr>
                <w:rFonts w:hint="eastAsia" w:ascii="宋体" w:hAnsi="宋体" w:eastAsia="宋体" w:cs="宋体"/>
                <w:sz w:val="18"/>
                <w:szCs w:val="18"/>
                <w:lang w:val="en-US" w:eastAsia="zh-CN"/>
              </w:rPr>
              <w:t>务行为全过程监管，保证测绘成果质量。</w:t>
            </w:r>
          </w:p>
        </w:tc>
        <w:tc>
          <w:tcPr>
            <w:tcW w:w="982"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 xml:space="preserve">做好测绘服务机构信用管理， 开展测绘服务机构信用评价。 </w:t>
            </w:r>
          </w:p>
        </w:tc>
        <w:tc>
          <w:tcPr>
            <w:tcW w:w="91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县自然资源局、 县住建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局、县政数局等部门按 </w:t>
            </w:r>
          </w:p>
          <w:p>
            <w:pPr>
              <w:rPr>
                <w:rFonts w:hint="eastAsia" w:ascii="宋体" w:hAnsi="宋体" w:eastAsia="宋体" w:cs="宋体"/>
                <w:sz w:val="18"/>
                <w:szCs w:val="18"/>
              </w:rPr>
            </w:pPr>
            <w:r>
              <w:rPr>
                <w:rFonts w:hint="eastAsia" w:ascii="宋体" w:hAnsi="宋体" w:eastAsia="宋体" w:cs="宋体"/>
                <w:sz w:val="18"/>
                <w:szCs w:val="18"/>
                <w:lang w:val="en-US" w:eastAsia="zh-CN"/>
              </w:rPr>
              <w:t xml:space="preserve">职责分工负责 </w:t>
            </w:r>
          </w:p>
        </w:tc>
        <w:tc>
          <w:tcPr>
            <w:tcW w:w="97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王向东</w:t>
            </w:r>
          </w:p>
        </w:tc>
        <w:tc>
          <w:tcPr>
            <w:tcW w:w="1126"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国土空间</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规划科</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张翔15643991928</w:t>
            </w: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031"/>
        <w:gridCol w:w="832"/>
        <w:gridCol w:w="2168"/>
        <w:gridCol w:w="653"/>
        <w:gridCol w:w="2538"/>
        <w:gridCol w:w="1187"/>
        <w:gridCol w:w="1009"/>
        <w:gridCol w:w="1050"/>
        <w:gridCol w:w="982"/>
        <w:gridCol w:w="917"/>
        <w:gridCol w:w="973"/>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66"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2031"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832"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168"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65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538"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228"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17"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6"/>
                <w:szCs w:val="16"/>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366"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031" w:type="dxa"/>
            <w:vMerge w:val="continue"/>
            <w:tcBorders>
              <w:top w:val="nil"/>
            </w:tcBorders>
            <w:noWrap w:val="0"/>
            <w:vAlign w:val="top"/>
          </w:tcPr>
          <w:p>
            <w:pPr>
              <w:rPr>
                <w:rFonts w:hint="eastAsia" w:ascii="宋体" w:hAnsi="宋体" w:eastAsia="宋体" w:cs="宋体"/>
                <w:sz w:val="18"/>
                <w:szCs w:val="18"/>
                <w:lang w:eastAsia="zh-CN"/>
              </w:rPr>
            </w:pPr>
          </w:p>
        </w:tc>
        <w:tc>
          <w:tcPr>
            <w:tcW w:w="832" w:type="dxa"/>
            <w:vMerge w:val="continue"/>
            <w:tcBorders>
              <w:top w:val="nil"/>
            </w:tcBorders>
            <w:noWrap w:val="0"/>
            <w:vAlign w:val="top"/>
          </w:tcPr>
          <w:p>
            <w:pPr>
              <w:rPr>
                <w:rFonts w:hint="eastAsia" w:ascii="宋体" w:hAnsi="宋体" w:eastAsia="宋体" w:cs="宋体"/>
                <w:sz w:val="18"/>
                <w:szCs w:val="18"/>
              </w:rPr>
            </w:pPr>
          </w:p>
        </w:tc>
        <w:tc>
          <w:tcPr>
            <w:tcW w:w="2168" w:type="dxa"/>
            <w:vMerge w:val="continue"/>
            <w:tcBorders>
              <w:top w:val="nil"/>
            </w:tcBorders>
            <w:noWrap w:val="0"/>
            <w:vAlign w:val="top"/>
          </w:tcPr>
          <w:p>
            <w:pPr>
              <w:rPr>
                <w:rFonts w:hint="eastAsia" w:ascii="宋体" w:hAnsi="宋体" w:eastAsia="宋体" w:cs="宋体"/>
                <w:sz w:val="18"/>
                <w:szCs w:val="18"/>
              </w:rPr>
            </w:pPr>
          </w:p>
        </w:tc>
        <w:tc>
          <w:tcPr>
            <w:tcW w:w="653" w:type="dxa"/>
            <w:vMerge w:val="continue"/>
            <w:noWrap w:val="0"/>
            <w:vAlign w:val="top"/>
          </w:tcPr>
          <w:p>
            <w:pPr>
              <w:rPr>
                <w:rFonts w:hint="eastAsia" w:ascii="宋体" w:hAnsi="宋体" w:eastAsia="宋体" w:cs="宋体"/>
                <w:sz w:val="18"/>
                <w:szCs w:val="18"/>
              </w:rPr>
            </w:pPr>
          </w:p>
        </w:tc>
        <w:tc>
          <w:tcPr>
            <w:tcW w:w="2538" w:type="dxa"/>
            <w:vMerge w:val="continue"/>
            <w:noWrap w:val="0"/>
            <w:vAlign w:val="top"/>
          </w:tcPr>
          <w:p>
            <w:pPr>
              <w:rPr>
                <w:rFonts w:hint="eastAsia" w:ascii="宋体" w:hAnsi="宋体" w:eastAsia="宋体" w:cs="宋体"/>
                <w:sz w:val="18"/>
                <w:szCs w:val="18"/>
              </w:rPr>
            </w:pPr>
          </w:p>
        </w:tc>
        <w:tc>
          <w:tcPr>
            <w:tcW w:w="1187"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009"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05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982"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17" w:type="dxa"/>
            <w:vMerge w:val="continue"/>
            <w:tcBorders>
              <w:top w:val="nil"/>
            </w:tcBorders>
            <w:noWrap w:val="0"/>
            <w:vAlign w:val="top"/>
          </w:tcPr>
          <w:p>
            <w:pPr>
              <w:rPr>
                <w:rFonts w:hint="eastAsia" w:ascii="宋体" w:hAnsi="宋体" w:eastAsia="宋体" w:cs="宋体"/>
                <w:sz w:val="18"/>
                <w:szCs w:val="18"/>
              </w:rPr>
            </w:pPr>
          </w:p>
        </w:tc>
        <w:tc>
          <w:tcPr>
            <w:tcW w:w="973"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5" w:hRule="atLeast"/>
        </w:trPr>
        <w:tc>
          <w:tcPr>
            <w:tcW w:w="366" w:type="dxa"/>
            <w:tcBorders>
              <w:bottom w:val="single" w:color="auto" w:sz="4" w:space="0"/>
            </w:tcBorders>
            <w:noWrap w:val="0"/>
            <w:vAlign w:val="top"/>
          </w:tcPr>
          <w:p>
            <w:pP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031"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持续深化工程建设项目审 批制度改革。对标国家工程建设项目审批管理系统数据共享交换标准，完善工程审批系统功能。强化工程建设项目全过程图纸数字化管理系统在全省部署应用，加快电子签名、电子印章、电子证照、电子材料、电子档案等在工程建设项目全流程网上办理过程中的应用。持续推动工程建设项目审批全流程涉及的行政批、备案、评估评价、中介服务、市政公用服务等事项全环节网上办理，探索推进无纸化审批、不见面审批，加快由网上可办向全程网办、好办易办转变。</w:t>
            </w:r>
          </w:p>
        </w:tc>
        <w:tc>
          <w:tcPr>
            <w:tcW w:w="832"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省政数局牵头，各有关部门按 职责分工负责</w:t>
            </w:r>
          </w:p>
        </w:tc>
        <w:tc>
          <w:tcPr>
            <w:tcW w:w="2168" w:type="dxa"/>
            <w:tcBorders>
              <w:bottom w:val="single" w:color="auto" w:sz="4" w:space="0"/>
            </w:tcBorders>
            <w:noWrap w:val="0"/>
            <w:vAlign w:val="top"/>
          </w:tcPr>
          <w:p>
            <w:pP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①完善《工程建设项目审批服务标 准化规程》《工程建设项目审批办 事指南》 ，明晰项目审批服务需要办理的审批事项、中介服务和环节，将办理步骤细化为流程图表，标注清楚并联审批、联合验收事项，让市场主体“一眼清”“看得懂 ②出台《建立工程建设项目审批绿色通道的实施意见》 ，保障项目审 批和工程建设有序进行，推出项目审批和工程建设“绿色通道”，大力实施领办代办、容缺受理等服务举措，全力为工程建设项目审批</w:t>
            </w:r>
            <w:r>
              <w:rPr>
                <w:rFonts w:hint="eastAsia" w:ascii="宋体" w:hAnsi="宋体" w:cs="宋体"/>
                <w:color w:val="auto"/>
                <w:sz w:val="16"/>
                <w:szCs w:val="16"/>
                <w:lang w:val="en-US" w:eastAsia="zh-CN"/>
              </w:rPr>
              <w:t>提供服务保障</w:t>
            </w:r>
            <w:r>
              <w:rPr>
                <w:rFonts w:hint="eastAsia" w:ascii="宋体" w:hAnsi="宋体" w:eastAsia="宋体" w:cs="宋体"/>
                <w:color w:val="auto"/>
                <w:sz w:val="16"/>
                <w:szCs w:val="16"/>
                <w:lang w:val="en-US" w:eastAsia="zh-CN"/>
              </w:rPr>
              <w:t>。                  ③落实《深入开展“体外循环”“隐性审批”整治方案》，强化工程建设项目全流程网办，加强工程审批系统应用，进一步提升项目审批全流程网上办理水平，深入开展“体外循环”“隐性审批”整治，切实将工程建设项目涉及的行政审批、备案、市政公用服务报装等事项纳入线上办理，进一步提高审批服务效能。</w:t>
            </w:r>
          </w:p>
        </w:tc>
        <w:tc>
          <w:tcPr>
            <w:tcW w:w="653"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市政数 局牵头， 各有关部门按职责分工负责</w:t>
            </w:r>
          </w:p>
        </w:tc>
        <w:tc>
          <w:tcPr>
            <w:tcW w:w="2538"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持续深化工程建设项目审批制度改革，进一步推进全过程图纸审查系统的应用、协同服务的开展及工程建设项目市政公用服务相关事项的办理，落实《深入开展“体外循环”“隐 性审批”整治方案》，强化工程建设项目全流程网办，加强工程审批 系统应用，进一步提升项目审批全流程网上办理水平，切实将工程建设项目涉及的行政审批、备案、市政公用服务报装等事项纳入线上办理，进一步提高审批服务效能。</w:t>
            </w:r>
          </w:p>
        </w:tc>
        <w:tc>
          <w:tcPr>
            <w:tcW w:w="1187" w:type="dxa"/>
            <w:tcBorders>
              <w:bottom w:val="single" w:color="auto" w:sz="4" w:space="0"/>
            </w:tcBorders>
            <w:noWrap w:val="0"/>
            <w:vAlign w:val="top"/>
          </w:tcPr>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8"/>
                <w:szCs w:val="18"/>
              </w:rPr>
            </w:pPr>
            <w:r>
              <w:rPr>
                <w:rFonts w:hint="eastAsia" w:ascii="宋体" w:hAnsi="宋体" w:eastAsia="宋体" w:cs="宋体"/>
                <w:color w:val="auto"/>
                <w:sz w:val="15"/>
                <w:szCs w:val="15"/>
                <w:lang w:val="en-US" w:eastAsia="zh-CN"/>
              </w:rPr>
              <w:t>通过开展相关培训会进一步推进全过程图纸审查系统的应用，工程建设项目办理建设项目用地规划许可证、建设项目用地预审与选址意见书、建设项目工程规划许可证等相关事项涉及图纸审查的都已通过全过程图纸审查系统审图。进一步推进工程建设项目市政公用服务相关事项全部进行线上办理，协同服务已陆续开展，凡是通过工程建设项目审批管理系统申报的新建项目已全部开展协同服务。</w:t>
            </w:r>
          </w:p>
        </w:tc>
        <w:tc>
          <w:tcPr>
            <w:tcW w:w="1009"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持续推进工作。</w:t>
            </w:r>
          </w:p>
        </w:tc>
        <w:tc>
          <w:tcPr>
            <w:tcW w:w="1050"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持续推进工作。</w:t>
            </w:r>
          </w:p>
        </w:tc>
        <w:tc>
          <w:tcPr>
            <w:tcW w:w="982"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持续推进工作。</w:t>
            </w:r>
          </w:p>
        </w:tc>
        <w:tc>
          <w:tcPr>
            <w:tcW w:w="917" w:type="dxa"/>
            <w:tcBorders>
              <w:bottom w:val="single" w:color="auto" w:sz="4" w:space="0"/>
            </w:tcBorders>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县政数局牵头，</w:t>
            </w:r>
            <w:r>
              <w:rPr>
                <w:rFonts w:hint="eastAsia" w:ascii="宋体" w:hAnsi="宋体" w:eastAsia="宋体" w:cs="宋体"/>
                <w:b w:val="0"/>
                <w:bCs w:val="0"/>
                <w:color w:val="auto"/>
                <w:sz w:val="18"/>
                <w:szCs w:val="18"/>
                <w:lang w:val="en-US" w:eastAsia="zh-CN"/>
              </w:rPr>
              <w:t>各相关部门按职责分工分责</w:t>
            </w:r>
          </w:p>
        </w:tc>
        <w:tc>
          <w:tcPr>
            <w:tcW w:w="973" w:type="dxa"/>
            <w:tcBorders>
              <w:bottom w:val="single" w:color="auto" w:sz="4" w:space="0"/>
            </w:tcBorders>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王宇光</w:t>
            </w:r>
          </w:p>
        </w:tc>
        <w:tc>
          <w:tcPr>
            <w:tcW w:w="1126" w:type="dxa"/>
            <w:tcBorders>
              <w:bottom w:val="single" w:color="auto" w:sz="4" w:space="0"/>
            </w:tcBorders>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工改办</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徐莹</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18843957476</w:t>
            </w:r>
          </w:p>
        </w:tc>
      </w:tr>
    </w:tbl>
    <w:p>
      <w:pPr>
        <w:rPr>
          <w:rFonts w:hint="eastAsia" w:ascii="宋体" w:hAnsi="宋体" w:eastAsia="宋体" w:cs="宋体"/>
        </w:rPr>
      </w:pPr>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683"/>
        <w:gridCol w:w="617"/>
        <w:gridCol w:w="2683"/>
        <w:gridCol w:w="684"/>
        <w:gridCol w:w="2200"/>
        <w:gridCol w:w="1116"/>
        <w:gridCol w:w="1217"/>
        <w:gridCol w:w="1100"/>
        <w:gridCol w:w="1133"/>
        <w:gridCol w:w="934"/>
        <w:gridCol w:w="940"/>
        <w:gridCol w:w="11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3"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16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17"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68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684"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4"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40"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42"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3"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683" w:type="dxa"/>
            <w:vMerge w:val="continue"/>
            <w:tcBorders>
              <w:top w:val="nil"/>
            </w:tcBorders>
            <w:noWrap w:val="0"/>
            <w:vAlign w:val="top"/>
          </w:tcPr>
          <w:p>
            <w:pPr>
              <w:rPr>
                <w:rFonts w:hint="eastAsia" w:ascii="宋体" w:hAnsi="宋体" w:eastAsia="宋体" w:cs="宋体"/>
                <w:sz w:val="18"/>
                <w:szCs w:val="18"/>
                <w:lang w:eastAsia="zh-CN"/>
              </w:rPr>
            </w:pPr>
          </w:p>
        </w:tc>
        <w:tc>
          <w:tcPr>
            <w:tcW w:w="617" w:type="dxa"/>
            <w:vMerge w:val="continue"/>
            <w:tcBorders>
              <w:top w:val="nil"/>
            </w:tcBorders>
            <w:noWrap w:val="0"/>
            <w:vAlign w:val="top"/>
          </w:tcPr>
          <w:p>
            <w:pPr>
              <w:rPr>
                <w:rFonts w:hint="eastAsia" w:ascii="宋体" w:hAnsi="宋体" w:eastAsia="宋体" w:cs="宋体"/>
                <w:sz w:val="18"/>
                <w:szCs w:val="18"/>
              </w:rPr>
            </w:pPr>
          </w:p>
        </w:tc>
        <w:tc>
          <w:tcPr>
            <w:tcW w:w="2683" w:type="dxa"/>
            <w:vMerge w:val="continue"/>
            <w:tcBorders>
              <w:top w:val="nil"/>
            </w:tcBorders>
            <w:noWrap w:val="0"/>
            <w:vAlign w:val="top"/>
          </w:tcPr>
          <w:p>
            <w:pPr>
              <w:rPr>
                <w:rFonts w:hint="eastAsia" w:ascii="宋体" w:hAnsi="宋体" w:eastAsia="宋体" w:cs="宋体"/>
                <w:sz w:val="18"/>
                <w:szCs w:val="18"/>
              </w:rPr>
            </w:pPr>
          </w:p>
        </w:tc>
        <w:tc>
          <w:tcPr>
            <w:tcW w:w="684"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217"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33"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4" w:type="dxa"/>
            <w:vMerge w:val="continue"/>
            <w:tcBorders>
              <w:top w:val="nil"/>
            </w:tcBorders>
            <w:noWrap w:val="0"/>
            <w:vAlign w:val="top"/>
          </w:tcPr>
          <w:p>
            <w:pPr>
              <w:rPr>
                <w:rFonts w:hint="eastAsia" w:ascii="宋体" w:hAnsi="宋体" w:eastAsia="宋体" w:cs="宋体"/>
                <w:sz w:val="18"/>
                <w:szCs w:val="18"/>
              </w:rPr>
            </w:pPr>
          </w:p>
        </w:tc>
        <w:tc>
          <w:tcPr>
            <w:tcW w:w="940" w:type="dxa"/>
            <w:vMerge w:val="continue"/>
            <w:noWrap w:val="0"/>
            <w:vAlign w:val="top"/>
          </w:tcPr>
          <w:p>
            <w:pPr>
              <w:rPr>
                <w:rFonts w:hint="eastAsia" w:ascii="宋体" w:hAnsi="宋体" w:eastAsia="宋体" w:cs="宋体"/>
                <w:sz w:val="18"/>
                <w:szCs w:val="18"/>
              </w:rPr>
            </w:pPr>
          </w:p>
        </w:tc>
        <w:tc>
          <w:tcPr>
            <w:tcW w:w="1142"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0" w:hRule="atLeast"/>
        </w:trPr>
        <w:tc>
          <w:tcPr>
            <w:tcW w:w="383"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68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提升网络平台支撑能力。持续扩大全省电子政务外网覆盖范围，满足各类政务类 业务系统应用需要，建成安 全高效、互联互通的政务外网支撑体系，2023年底前实 现省、市、县、乡全覆盖，村按需接入。完善全省统一身份认证系统功能，推进在 政务服务中心、政府网站、“吉事办”移动端等多场景业务应用。</w:t>
            </w:r>
          </w:p>
        </w:tc>
        <w:tc>
          <w:tcPr>
            <w:tcW w:w="61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省政数 局牵头，各有关部门及各市、县政府按职责分工负责</w:t>
            </w:r>
          </w:p>
        </w:tc>
        <w:tc>
          <w:tcPr>
            <w:tcW w:w="2683" w:type="dxa"/>
            <w:noWrap w:val="0"/>
            <w:vAlign w:val="top"/>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①在实现市、县、乡 (镇、街道) 、 社区电子政务外网全覆盖的基础 上，推动有条件接入电子政务外网 的村应接尽接，为各类业务开展提 供基础网络保障。                ②根据“数字白山”办印发的《白 山市电子政务外 网管理办法 (试 行)》(数字白山办〔2020〕12 号) ，市政数局定期组织全市各部门开展 电子政务外网网络安全自查，确保网络设施及重要信息系统的安全。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③支持配合省政数局做好全省统一身份认证系统的功能完善工作。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④推动全省统一身份认证系统功能在我市政府网站的应用工作，2023 年底前全市28家政府网站与全省统一身份认证系统实现对接。</w:t>
            </w:r>
          </w:p>
        </w:tc>
        <w:tc>
          <w:tcPr>
            <w:tcW w:w="684"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市政数 局牵头，</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各有关</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部门及</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各县(市、区) 政府按职责分工负责</w:t>
            </w:r>
          </w:p>
        </w:tc>
        <w:tc>
          <w:tcPr>
            <w:tcW w:w="2200"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①在实现市、县、乡 (镇、街道) 、 社区电子政务外网全覆盖的基础上，推动有条件接入电子政务外网的村应接尽接，为各类业务开展提 供基础网络保障。                ②定期组织全县各部门开展 电子政务外网网络安全自查，确保网络设施及重要信息系统的安全。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③配合省政数局做好全省统一身份认证系统的功能完善工作。    </w:t>
            </w:r>
          </w:p>
          <w:p>
            <w:pPr>
              <w:rPr>
                <w:rFonts w:hint="eastAsia" w:ascii="宋体" w:hAnsi="宋体" w:eastAsia="宋体" w:cs="宋体"/>
                <w:sz w:val="18"/>
                <w:szCs w:val="18"/>
                <w:lang w:eastAsia="zh-CN"/>
              </w:rPr>
            </w:pPr>
          </w:p>
        </w:tc>
        <w:tc>
          <w:tcPr>
            <w:tcW w:w="1116" w:type="dxa"/>
            <w:noWrap w:val="0"/>
            <w:vAlign w:val="center"/>
          </w:tcPr>
          <w:p>
            <w:pPr>
              <w:jc w:val="both"/>
              <w:rPr>
                <w:rFonts w:hint="eastAsia" w:ascii="宋体" w:hAnsi="宋体" w:eastAsia="宋体" w:cs="宋体"/>
                <w:sz w:val="18"/>
                <w:szCs w:val="18"/>
              </w:rPr>
            </w:pPr>
            <w:r>
              <w:rPr>
                <w:rFonts w:hint="eastAsia" w:ascii="宋体" w:hAnsi="宋体" w:eastAsia="宋体" w:cs="宋体"/>
                <w:spacing w:val="-5"/>
                <w:sz w:val="18"/>
                <w:szCs w:val="18"/>
              </w:rPr>
              <w:t>根</w:t>
            </w:r>
            <w:r>
              <w:rPr>
                <w:rFonts w:hint="eastAsia" w:ascii="宋体" w:hAnsi="宋体" w:eastAsia="宋体" w:cs="宋体"/>
                <w:spacing w:val="22"/>
                <w:sz w:val="18"/>
                <w:szCs w:val="18"/>
              </w:rPr>
              <w:t>据</w:t>
            </w:r>
            <w:r>
              <w:rPr>
                <w:rFonts w:hint="eastAsia" w:ascii="宋体" w:hAnsi="宋体" w:eastAsia="宋体" w:cs="宋体"/>
                <w:spacing w:val="18"/>
                <w:sz w:val="18"/>
                <w:szCs w:val="18"/>
              </w:rPr>
              <w:t>白山市电子政</w:t>
            </w:r>
            <w:r>
              <w:rPr>
                <w:rFonts w:hint="eastAsia" w:ascii="宋体" w:hAnsi="宋体" w:eastAsia="宋体" w:cs="宋体"/>
                <w:spacing w:val="2"/>
                <w:sz w:val="18"/>
                <w:szCs w:val="18"/>
              </w:rPr>
              <w:t xml:space="preserve">务外网 </w:t>
            </w:r>
            <w:r>
              <w:rPr>
                <w:rFonts w:hint="eastAsia" w:ascii="宋体" w:hAnsi="宋体" w:eastAsia="宋体" w:cs="宋体"/>
                <w:sz w:val="18"/>
                <w:szCs w:val="18"/>
              </w:rPr>
              <w:t>IP</w:t>
            </w:r>
            <w:r>
              <w:rPr>
                <w:rFonts w:hint="eastAsia" w:ascii="宋体" w:hAnsi="宋体" w:eastAsia="宋体" w:cs="宋体"/>
                <w:spacing w:val="2"/>
                <w:sz w:val="18"/>
                <w:szCs w:val="18"/>
              </w:rPr>
              <w:t xml:space="preserve"> 地址</w:t>
            </w:r>
            <w:r>
              <w:rPr>
                <w:rFonts w:hint="eastAsia" w:ascii="宋体" w:hAnsi="宋体" w:eastAsia="宋体" w:cs="宋体"/>
                <w:spacing w:val="1"/>
                <w:sz w:val="18"/>
                <w:szCs w:val="18"/>
              </w:rPr>
              <w:t>规</w:t>
            </w:r>
            <w:r>
              <w:rPr>
                <w:rFonts w:hint="eastAsia" w:ascii="宋体" w:hAnsi="宋体" w:eastAsia="宋体" w:cs="宋体"/>
                <w:spacing w:val="-8"/>
                <w:sz w:val="18"/>
                <w:szCs w:val="18"/>
              </w:rPr>
              <w:t>划</w:t>
            </w:r>
            <w:r>
              <w:rPr>
                <w:rFonts w:hint="eastAsia" w:ascii="宋体" w:hAnsi="宋体" w:eastAsia="宋体" w:cs="宋体"/>
                <w:spacing w:val="-6"/>
                <w:sz w:val="18"/>
                <w:szCs w:val="18"/>
              </w:rPr>
              <w:t>，对</w:t>
            </w:r>
            <w:r>
              <w:rPr>
                <w:rFonts w:hint="eastAsia" w:ascii="宋体" w:hAnsi="宋体" w:eastAsia="宋体" w:cs="宋体"/>
                <w:spacing w:val="-6"/>
                <w:sz w:val="18"/>
                <w:szCs w:val="18"/>
                <w:lang w:eastAsia="zh-CN"/>
              </w:rPr>
              <w:t>我县</w:t>
            </w:r>
            <w:r>
              <w:rPr>
                <w:rFonts w:hint="eastAsia" w:ascii="宋体" w:hAnsi="宋体" w:eastAsia="宋体" w:cs="宋体"/>
                <w:spacing w:val="-6"/>
                <w:sz w:val="18"/>
                <w:szCs w:val="18"/>
              </w:rPr>
              <w:t>电子</w:t>
            </w:r>
            <w:r>
              <w:rPr>
                <w:rFonts w:hint="eastAsia" w:ascii="宋体" w:hAnsi="宋体" w:eastAsia="宋体" w:cs="宋体"/>
                <w:spacing w:val="2"/>
                <w:sz w:val="18"/>
                <w:szCs w:val="18"/>
              </w:rPr>
              <w:t xml:space="preserve">政务外网 </w:t>
            </w:r>
            <w:r>
              <w:rPr>
                <w:rFonts w:hint="eastAsia" w:ascii="宋体" w:hAnsi="宋体" w:eastAsia="宋体" w:cs="宋体"/>
                <w:sz w:val="18"/>
                <w:szCs w:val="18"/>
              </w:rPr>
              <w:t>IP</w:t>
            </w:r>
            <w:r>
              <w:rPr>
                <w:rFonts w:hint="eastAsia" w:ascii="宋体" w:hAnsi="宋体" w:eastAsia="宋体" w:cs="宋体"/>
                <w:spacing w:val="2"/>
                <w:sz w:val="18"/>
                <w:szCs w:val="18"/>
              </w:rPr>
              <w:t xml:space="preserve"> 地</w:t>
            </w:r>
            <w:r>
              <w:rPr>
                <w:rFonts w:hint="eastAsia" w:ascii="宋体" w:hAnsi="宋体" w:eastAsia="宋体" w:cs="宋体"/>
                <w:spacing w:val="1"/>
                <w:sz w:val="18"/>
                <w:szCs w:val="18"/>
              </w:rPr>
              <w:t>址</w:t>
            </w:r>
            <w:r>
              <w:rPr>
                <w:rFonts w:hint="eastAsia" w:ascii="宋体" w:hAnsi="宋体" w:eastAsia="宋体" w:cs="宋体"/>
                <w:spacing w:val="-8"/>
                <w:sz w:val="18"/>
                <w:szCs w:val="18"/>
              </w:rPr>
              <w:t>进</w:t>
            </w:r>
            <w:r>
              <w:rPr>
                <w:rFonts w:hint="eastAsia" w:ascii="宋体" w:hAnsi="宋体" w:eastAsia="宋体" w:cs="宋体"/>
                <w:spacing w:val="-6"/>
                <w:sz w:val="18"/>
                <w:szCs w:val="18"/>
              </w:rPr>
              <w:t>行全面调整，对</w:t>
            </w:r>
            <w:r>
              <w:rPr>
                <w:rFonts w:hint="eastAsia" w:ascii="宋体" w:hAnsi="宋体" w:eastAsia="宋体" w:cs="宋体"/>
                <w:sz w:val="18"/>
                <w:szCs w:val="18"/>
              </w:rPr>
              <w:t xml:space="preserve"> </w:t>
            </w:r>
            <w:r>
              <w:rPr>
                <w:rFonts w:hint="eastAsia" w:ascii="宋体" w:hAnsi="宋体" w:eastAsia="宋体" w:cs="宋体"/>
                <w:spacing w:val="2"/>
                <w:sz w:val="18"/>
                <w:szCs w:val="18"/>
              </w:rPr>
              <w:t xml:space="preserve">不合规的 </w:t>
            </w:r>
            <w:r>
              <w:rPr>
                <w:rFonts w:hint="eastAsia" w:ascii="宋体" w:hAnsi="宋体" w:eastAsia="宋体" w:cs="宋体"/>
                <w:sz w:val="18"/>
                <w:szCs w:val="18"/>
              </w:rPr>
              <w:t>IP</w:t>
            </w:r>
            <w:r>
              <w:rPr>
                <w:rFonts w:hint="eastAsia" w:ascii="宋体" w:hAnsi="宋体" w:eastAsia="宋体" w:cs="宋体"/>
                <w:spacing w:val="2"/>
                <w:sz w:val="18"/>
                <w:szCs w:val="18"/>
              </w:rPr>
              <w:t xml:space="preserve"> 地</w:t>
            </w:r>
            <w:r>
              <w:rPr>
                <w:rFonts w:hint="eastAsia" w:ascii="宋体" w:hAnsi="宋体" w:eastAsia="宋体" w:cs="宋体"/>
                <w:spacing w:val="1"/>
                <w:sz w:val="18"/>
                <w:szCs w:val="18"/>
              </w:rPr>
              <w:t>址</w:t>
            </w:r>
            <w:r>
              <w:rPr>
                <w:rFonts w:hint="eastAsia" w:ascii="宋体" w:hAnsi="宋体" w:eastAsia="宋体" w:cs="宋体"/>
                <w:sz w:val="18"/>
                <w:szCs w:val="18"/>
              </w:rPr>
              <w:t xml:space="preserve"> </w:t>
            </w:r>
            <w:r>
              <w:rPr>
                <w:rFonts w:hint="eastAsia" w:ascii="宋体" w:hAnsi="宋体" w:eastAsia="宋体" w:cs="宋体"/>
                <w:spacing w:val="-8"/>
                <w:sz w:val="18"/>
                <w:szCs w:val="18"/>
              </w:rPr>
              <w:t>停</w:t>
            </w:r>
            <w:r>
              <w:rPr>
                <w:rFonts w:hint="eastAsia" w:ascii="宋体" w:hAnsi="宋体" w:eastAsia="宋体" w:cs="宋体"/>
                <w:spacing w:val="-6"/>
                <w:sz w:val="18"/>
                <w:szCs w:val="18"/>
              </w:rPr>
              <w:t>止使用。</w:t>
            </w:r>
            <w:r>
              <w:rPr>
                <w:rFonts w:hint="eastAsia" w:ascii="宋体" w:hAnsi="宋体" w:eastAsia="宋体" w:cs="宋体"/>
                <w:spacing w:val="-6"/>
                <w:sz w:val="18"/>
                <w:szCs w:val="18"/>
                <w:lang w:eastAsia="zh-CN"/>
              </w:rPr>
              <w:t>配合</w:t>
            </w:r>
            <w:r>
              <w:rPr>
                <w:rFonts w:hint="eastAsia" w:ascii="宋体" w:hAnsi="宋体" w:eastAsia="宋体" w:cs="宋体"/>
                <w:spacing w:val="-6"/>
                <w:sz w:val="18"/>
                <w:szCs w:val="18"/>
              </w:rPr>
              <w:t>做好全</w:t>
            </w:r>
            <w:r>
              <w:rPr>
                <w:rFonts w:hint="eastAsia" w:ascii="宋体" w:hAnsi="宋体" w:eastAsia="宋体" w:cs="宋体"/>
                <w:spacing w:val="22"/>
                <w:sz w:val="18"/>
                <w:szCs w:val="18"/>
              </w:rPr>
              <w:t>省</w:t>
            </w:r>
            <w:r>
              <w:rPr>
                <w:rFonts w:hint="eastAsia" w:ascii="宋体" w:hAnsi="宋体" w:eastAsia="宋体" w:cs="宋体"/>
                <w:spacing w:val="18"/>
                <w:sz w:val="18"/>
                <w:szCs w:val="18"/>
              </w:rPr>
              <w:t>统一身份认证</w:t>
            </w:r>
            <w:r>
              <w:rPr>
                <w:rFonts w:hint="eastAsia" w:ascii="宋体" w:hAnsi="宋体" w:eastAsia="宋体" w:cs="宋体"/>
                <w:spacing w:val="18"/>
                <w:sz w:val="18"/>
                <w:szCs w:val="18"/>
                <w:lang w:eastAsia="zh-CN"/>
              </w:rPr>
              <w:t>系统工作</w:t>
            </w:r>
            <w:r>
              <w:rPr>
                <w:rFonts w:hint="eastAsia" w:ascii="宋体" w:hAnsi="宋体" w:eastAsia="宋体" w:cs="宋体"/>
                <w:sz w:val="18"/>
                <w:szCs w:val="18"/>
              </w:rPr>
              <w:t xml:space="preserve"> </w:t>
            </w:r>
          </w:p>
        </w:tc>
        <w:tc>
          <w:tcPr>
            <w:tcW w:w="1217" w:type="dxa"/>
            <w:noWrap w:val="0"/>
            <w:vAlign w:val="top"/>
          </w:tcPr>
          <w:p>
            <w:pPr>
              <w:jc w:val="center"/>
              <w:rPr>
                <w:rFonts w:hint="eastAsia" w:ascii="宋体" w:hAnsi="宋体" w:eastAsia="宋体" w:cs="宋体"/>
                <w:spacing w:val="-1"/>
                <w:sz w:val="18"/>
                <w:szCs w:val="18"/>
              </w:rPr>
            </w:pPr>
          </w:p>
          <w:p>
            <w:pPr>
              <w:jc w:val="center"/>
              <w:rPr>
                <w:rFonts w:hint="eastAsia" w:ascii="宋体" w:hAnsi="宋体" w:eastAsia="宋体" w:cs="宋体"/>
                <w:spacing w:val="-1"/>
                <w:sz w:val="18"/>
                <w:szCs w:val="18"/>
              </w:rPr>
            </w:pPr>
          </w:p>
          <w:p>
            <w:pPr>
              <w:jc w:val="center"/>
              <w:rPr>
                <w:rFonts w:hint="eastAsia" w:ascii="宋体" w:hAnsi="宋体" w:eastAsia="宋体" w:cs="宋体"/>
                <w:spacing w:val="-1"/>
                <w:sz w:val="18"/>
                <w:szCs w:val="18"/>
              </w:rPr>
            </w:pPr>
          </w:p>
          <w:p>
            <w:pPr>
              <w:jc w:val="center"/>
              <w:rPr>
                <w:rFonts w:hint="eastAsia" w:ascii="宋体" w:hAnsi="宋体" w:eastAsia="宋体" w:cs="宋体"/>
                <w:spacing w:val="-1"/>
                <w:sz w:val="18"/>
                <w:szCs w:val="18"/>
              </w:rPr>
            </w:pPr>
          </w:p>
          <w:p>
            <w:pPr>
              <w:jc w:val="center"/>
              <w:rPr>
                <w:rFonts w:hint="eastAsia" w:ascii="宋体" w:hAnsi="宋体" w:eastAsia="宋体" w:cs="宋体"/>
                <w:spacing w:val="-1"/>
                <w:sz w:val="18"/>
                <w:szCs w:val="18"/>
              </w:rPr>
            </w:pPr>
          </w:p>
          <w:p>
            <w:pPr>
              <w:jc w:val="center"/>
              <w:rPr>
                <w:rFonts w:hint="eastAsia" w:ascii="宋体" w:hAnsi="宋体" w:eastAsia="宋体" w:cs="宋体"/>
                <w:spacing w:val="-1"/>
                <w:sz w:val="18"/>
                <w:szCs w:val="18"/>
              </w:rPr>
            </w:pPr>
          </w:p>
          <w:p>
            <w:pPr>
              <w:jc w:val="both"/>
              <w:rPr>
                <w:rFonts w:hint="eastAsia" w:ascii="宋体" w:hAnsi="宋体" w:eastAsia="宋体" w:cs="宋体"/>
                <w:spacing w:val="-1"/>
                <w:sz w:val="18"/>
                <w:szCs w:val="18"/>
              </w:rPr>
            </w:pPr>
          </w:p>
          <w:p>
            <w:pPr>
              <w:jc w:val="center"/>
              <w:rPr>
                <w:rFonts w:hint="eastAsia" w:ascii="宋体" w:hAnsi="宋体" w:eastAsia="宋体" w:cs="宋体"/>
                <w:spacing w:val="-1"/>
                <w:sz w:val="18"/>
                <w:szCs w:val="18"/>
              </w:rPr>
            </w:pPr>
          </w:p>
          <w:p>
            <w:pPr>
              <w:jc w:val="both"/>
              <w:rPr>
                <w:rFonts w:hint="eastAsia" w:ascii="宋体" w:hAnsi="宋体" w:eastAsia="宋体" w:cs="宋体"/>
                <w:sz w:val="18"/>
                <w:szCs w:val="18"/>
              </w:rPr>
            </w:pPr>
            <w:r>
              <w:rPr>
                <w:rFonts w:hint="eastAsia" w:ascii="宋体" w:hAnsi="宋体" w:eastAsia="宋体" w:cs="宋体"/>
                <w:spacing w:val="2"/>
                <w:sz w:val="18"/>
                <w:szCs w:val="18"/>
                <w:lang w:eastAsia="zh-CN"/>
              </w:rPr>
              <w:t>推进</w:t>
            </w:r>
            <w:r>
              <w:rPr>
                <w:rFonts w:hint="eastAsia" w:ascii="宋体" w:hAnsi="宋体" w:eastAsia="宋体" w:cs="宋体"/>
                <w:spacing w:val="2"/>
                <w:sz w:val="18"/>
                <w:szCs w:val="18"/>
              </w:rPr>
              <w:t>电子政务外网接</w:t>
            </w:r>
            <w:r>
              <w:rPr>
                <w:rFonts w:hint="eastAsia" w:ascii="宋体" w:hAnsi="宋体" w:eastAsia="宋体" w:cs="宋体"/>
                <w:spacing w:val="2"/>
                <w:sz w:val="18"/>
                <w:szCs w:val="18"/>
                <w:lang w:eastAsia="zh-CN"/>
              </w:rPr>
              <w:t>等保二级认证工作</w:t>
            </w:r>
            <w:r>
              <w:rPr>
                <w:rFonts w:hint="eastAsia" w:ascii="宋体" w:hAnsi="宋体" w:eastAsia="宋体" w:cs="宋体"/>
                <w:sz w:val="18"/>
                <w:szCs w:val="18"/>
              </w:rPr>
              <w:t>。</w:t>
            </w:r>
          </w:p>
        </w:tc>
        <w:tc>
          <w:tcPr>
            <w:tcW w:w="1100" w:type="dxa"/>
            <w:noWrap w:val="0"/>
            <w:vAlign w:val="top"/>
          </w:tcPr>
          <w:p>
            <w:pPr>
              <w:jc w:val="center"/>
              <w:rPr>
                <w:rFonts w:hint="eastAsia" w:ascii="宋体" w:hAnsi="宋体" w:eastAsia="宋体" w:cs="宋体"/>
                <w:spacing w:val="5"/>
                <w:sz w:val="18"/>
                <w:szCs w:val="18"/>
              </w:rPr>
            </w:pPr>
          </w:p>
          <w:p>
            <w:pPr>
              <w:jc w:val="center"/>
              <w:rPr>
                <w:rFonts w:hint="eastAsia" w:ascii="宋体" w:hAnsi="宋体" w:eastAsia="宋体" w:cs="宋体"/>
                <w:spacing w:val="5"/>
                <w:sz w:val="18"/>
                <w:szCs w:val="18"/>
              </w:rPr>
            </w:pPr>
          </w:p>
          <w:p>
            <w:pPr>
              <w:jc w:val="center"/>
              <w:rPr>
                <w:rFonts w:hint="eastAsia" w:ascii="宋体" w:hAnsi="宋体" w:eastAsia="宋体" w:cs="宋体"/>
                <w:spacing w:val="5"/>
                <w:sz w:val="18"/>
                <w:szCs w:val="18"/>
              </w:rPr>
            </w:pPr>
          </w:p>
          <w:p>
            <w:pPr>
              <w:jc w:val="center"/>
              <w:rPr>
                <w:rFonts w:hint="eastAsia" w:ascii="宋体" w:hAnsi="宋体" w:eastAsia="宋体" w:cs="宋体"/>
                <w:spacing w:val="5"/>
                <w:sz w:val="18"/>
                <w:szCs w:val="18"/>
              </w:rPr>
            </w:pPr>
          </w:p>
          <w:p>
            <w:pPr>
              <w:jc w:val="center"/>
              <w:rPr>
                <w:rFonts w:hint="eastAsia" w:ascii="宋体" w:hAnsi="宋体" w:eastAsia="宋体" w:cs="宋体"/>
                <w:spacing w:val="5"/>
                <w:sz w:val="18"/>
                <w:szCs w:val="18"/>
              </w:rPr>
            </w:pPr>
          </w:p>
          <w:p>
            <w:pPr>
              <w:jc w:val="both"/>
              <w:rPr>
                <w:rFonts w:hint="eastAsia" w:ascii="宋体" w:hAnsi="宋体" w:eastAsia="宋体" w:cs="宋体"/>
                <w:spacing w:val="5"/>
                <w:sz w:val="18"/>
                <w:szCs w:val="18"/>
              </w:rPr>
            </w:pPr>
          </w:p>
          <w:p>
            <w:pPr>
              <w:jc w:val="center"/>
              <w:rPr>
                <w:rFonts w:hint="eastAsia" w:ascii="宋体" w:hAnsi="宋体" w:eastAsia="宋体" w:cs="宋体"/>
                <w:spacing w:val="5"/>
                <w:sz w:val="18"/>
                <w:szCs w:val="18"/>
              </w:rPr>
            </w:pPr>
          </w:p>
          <w:p>
            <w:pPr>
              <w:jc w:val="center"/>
              <w:rPr>
                <w:rFonts w:hint="eastAsia" w:ascii="宋体" w:hAnsi="宋体" w:eastAsia="宋体" w:cs="宋体"/>
                <w:spacing w:val="5"/>
                <w:sz w:val="18"/>
                <w:szCs w:val="18"/>
              </w:rPr>
            </w:pPr>
          </w:p>
          <w:p>
            <w:pPr>
              <w:jc w:val="center"/>
              <w:rPr>
                <w:rFonts w:hint="eastAsia" w:ascii="宋体" w:hAnsi="宋体" w:eastAsia="宋体" w:cs="宋体"/>
                <w:sz w:val="18"/>
                <w:szCs w:val="18"/>
              </w:rPr>
            </w:pPr>
            <w:r>
              <w:rPr>
                <w:rFonts w:hint="eastAsia" w:ascii="宋体" w:hAnsi="宋体" w:eastAsia="宋体" w:cs="宋体"/>
                <w:spacing w:val="4"/>
                <w:sz w:val="18"/>
                <w:szCs w:val="18"/>
              </w:rPr>
              <w:t>推进有条</w:t>
            </w:r>
            <w:r>
              <w:rPr>
                <w:rFonts w:hint="eastAsia" w:ascii="宋体" w:hAnsi="宋体" w:eastAsia="宋体" w:cs="宋体"/>
                <w:spacing w:val="6"/>
                <w:sz w:val="18"/>
                <w:szCs w:val="18"/>
              </w:rPr>
              <w:t>件</w:t>
            </w:r>
            <w:r>
              <w:rPr>
                <w:rFonts w:hint="eastAsia" w:ascii="宋体" w:hAnsi="宋体" w:eastAsia="宋体" w:cs="宋体"/>
                <w:spacing w:val="4"/>
                <w:sz w:val="18"/>
                <w:szCs w:val="18"/>
              </w:rPr>
              <w:t>接入电子政</w:t>
            </w:r>
            <w:r>
              <w:rPr>
                <w:rFonts w:hint="eastAsia" w:ascii="宋体" w:hAnsi="宋体" w:eastAsia="宋体" w:cs="宋体"/>
                <w:sz w:val="18"/>
                <w:szCs w:val="18"/>
              </w:rPr>
              <w:t xml:space="preserve"> </w:t>
            </w:r>
            <w:r>
              <w:rPr>
                <w:rFonts w:hint="eastAsia" w:ascii="宋体" w:hAnsi="宋体" w:eastAsia="宋体" w:cs="宋体"/>
                <w:spacing w:val="6"/>
                <w:sz w:val="18"/>
                <w:szCs w:val="18"/>
              </w:rPr>
              <w:t>务</w:t>
            </w:r>
            <w:r>
              <w:rPr>
                <w:rFonts w:hint="eastAsia" w:ascii="宋体" w:hAnsi="宋体" w:eastAsia="宋体" w:cs="宋体"/>
                <w:spacing w:val="4"/>
                <w:sz w:val="18"/>
                <w:szCs w:val="18"/>
              </w:rPr>
              <w:t>外网的行政</w:t>
            </w:r>
            <w:r>
              <w:rPr>
                <w:rFonts w:hint="eastAsia" w:ascii="宋体" w:hAnsi="宋体" w:eastAsia="宋体" w:cs="宋体"/>
                <w:spacing w:val="-1"/>
                <w:sz w:val="18"/>
                <w:szCs w:val="18"/>
              </w:rPr>
              <w:t>村应接尽接</w:t>
            </w:r>
            <w:r>
              <w:rPr>
                <w:rFonts w:hint="eastAsia" w:ascii="宋体" w:hAnsi="宋体" w:eastAsia="宋体" w:cs="宋体"/>
                <w:sz w:val="18"/>
                <w:szCs w:val="18"/>
              </w:rPr>
              <w:t>。</w:t>
            </w:r>
          </w:p>
        </w:tc>
        <w:tc>
          <w:tcPr>
            <w:tcW w:w="1133" w:type="dxa"/>
            <w:noWrap w:val="0"/>
            <w:vAlign w:val="top"/>
          </w:tcPr>
          <w:p>
            <w:pPr>
              <w:jc w:val="center"/>
              <w:rPr>
                <w:rFonts w:hint="eastAsia" w:ascii="宋体" w:hAnsi="宋体" w:eastAsia="宋体" w:cs="宋体"/>
                <w:spacing w:val="22"/>
                <w:sz w:val="18"/>
                <w:szCs w:val="18"/>
              </w:rPr>
            </w:pPr>
          </w:p>
          <w:p>
            <w:pPr>
              <w:jc w:val="center"/>
              <w:rPr>
                <w:rFonts w:hint="eastAsia" w:ascii="宋体" w:hAnsi="宋体" w:eastAsia="宋体" w:cs="宋体"/>
                <w:spacing w:val="22"/>
                <w:sz w:val="18"/>
                <w:szCs w:val="18"/>
              </w:rPr>
            </w:pPr>
          </w:p>
          <w:p>
            <w:pPr>
              <w:jc w:val="center"/>
              <w:rPr>
                <w:rFonts w:hint="eastAsia" w:ascii="宋体" w:hAnsi="宋体" w:eastAsia="宋体" w:cs="宋体"/>
                <w:spacing w:val="22"/>
                <w:sz w:val="18"/>
                <w:szCs w:val="18"/>
              </w:rPr>
            </w:pPr>
          </w:p>
          <w:p>
            <w:pPr>
              <w:jc w:val="center"/>
              <w:rPr>
                <w:rFonts w:hint="eastAsia" w:ascii="宋体" w:hAnsi="宋体" w:eastAsia="宋体" w:cs="宋体"/>
                <w:spacing w:val="22"/>
                <w:sz w:val="18"/>
                <w:szCs w:val="18"/>
              </w:rPr>
            </w:pPr>
          </w:p>
          <w:p>
            <w:pPr>
              <w:jc w:val="center"/>
              <w:rPr>
                <w:rFonts w:hint="eastAsia" w:ascii="宋体" w:hAnsi="宋体" w:eastAsia="宋体" w:cs="宋体"/>
                <w:spacing w:val="22"/>
                <w:sz w:val="18"/>
                <w:szCs w:val="18"/>
              </w:rPr>
            </w:pPr>
          </w:p>
          <w:p>
            <w:pPr>
              <w:jc w:val="center"/>
              <w:rPr>
                <w:rFonts w:hint="eastAsia" w:ascii="宋体" w:hAnsi="宋体" w:eastAsia="宋体" w:cs="宋体"/>
                <w:spacing w:val="22"/>
                <w:sz w:val="18"/>
                <w:szCs w:val="18"/>
              </w:rPr>
            </w:pPr>
          </w:p>
          <w:p>
            <w:pPr>
              <w:jc w:val="center"/>
              <w:rPr>
                <w:rFonts w:hint="eastAsia" w:ascii="宋体" w:hAnsi="宋体" w:eastAsia="宋体" w:cs="宋体"/>
                <w:spacing w:val="22"/>
                <w:sz w:val="18"/>
                <w:szCs w:val="18"/>
              </w:rPr>
            </w:pPr>
          </w:p>
          <w:p>
            <w:pPr>
              <w:jc w:val="both"/>
              <w:rPr>
                <w:rFonts w:hint="eastAsia" w:ascii="宋体" w:hAnsi="宋体" w:eastAsia="宋体" w:cs="宋体"/>
                <w:spacing w:val="22"/>
                <w:sz w:val="18"/>
                <w:szCs w:val="18"/>
              </w:rPr>
            </w:pPr>
          </w:p>
          <w:p>
            <w:pPr>
              <w:jc w:val="both"/>
              <w:rPr>
                <w:rFonts w:hint="eastAsia" w:ascii="宋体" w:hAnsi="宋体" w:eastAsia="宋体" w:cs="宋体"/>
                <w:sz w:val="18"/>
                <w:szCs w:val="18"/>
              </w:rPr>
            </w:pPr>
            <w:r>
              <w:rPr>
                <w:rFonts w:hint="eastAsia" w:ascii="宋体" w:hAnsi="宋体" w:eastAsia="宋体" w:cs="宋体"/>
                <w:spacing w:val="-6"/>
                <w:sz w:val="18"/>
                <w:szCs w:val="18"/>
                <w:lang w:eastAsia="zh-CN"/>
              </w:rPr>
              <w:t>按照上级要求</w:t>
            </w:r>
            <w:r>
              <w:rPr>
                <w:rFonts w:hint="eastAsia" w:ascii="宋体" w:hAnsi="宋体" w:eastAsia="宋体" w:cs="宋体"/>
                <w:spacing w:val="-6"/>
                <w:sz w:val="18"/>
                <w:szCs w:val="18"/>
              </w:rPr>
              <w:t>，</w:t>
            </w:r>
            <w:r>
              <w:rPr>
                <w:rFonts w:hint="eastAsia" w:ascii="宋体" w:hAnsi="宋体" w:eastAsia="宋体" w:cs="宋体"/>
                <w:spacing w:val="-7"/>
                <w:sz w:val="18"/>
                <w:szCs w:val="18"/>
              </w:rPr>
              <w:t>上报</w:t>
            </w:r>
            <w:r>
              <w:rPr>
                <w:rFonts w:hint="eastAsia" w:ascii="宋体" w:hAnsi="宋体" w:eastAsia="宋体" w:cs="宋体"/>
                <w:sz w:val="18"/>
                <w:szCs w:val="18"/>
                <w:lang w:eastAsia="zh-CN"/>
              </w:rPr>
              <w:t>靖宇县</w:t>
            </w:r>
            <w:r>
              <w:rPr>
                <w:rFonts w:hint="eastAsia" w:ascii="宋体" w:hAnsi="宋体" w:eastAsia="宋体" w:cs="宋体"/>
                <w:spacing w:val="21"/>
                <w:sz w:val="18"/>
                <w:szCs w:val="18"/>
              </w:rPr>
              <w:t>村级接</w:t>
            </w:r>
            <w:r>
              <w:rPr>
                <w:rFonts w:hint="eastAsia" w:ascii="宋体" w:hAnsi="宋体" w:eastAsia="宋体" w:cs="宋体"/>
                <w:spacing w:val="22"/>
                <w:sz w:val="18"/>
                <w:szCs w:val="18"/>
              </w:rPr>
              <w:t>入</w:t>
            </w:r>
            <w:r>
              <w:rPr>
                <w:rFonts w:hint="eastAsia" w:ascii="宋体" w:hAnsi="宋体" w:eastAsia="宋体" w:cs="宋体"/>
                <w:spacing w:val="21"/>
                <w:sz w:val="18"/>
                <w:szCs w:val="18"/>
              </w:rPr>
              <w:t>电子</w:t>
            </w:r>
            <w:r>
              <w:rPr>
                <w:rFonts w:hint="eastAsia" w:ascii="宋体" w:hAnsi="宋体" w:eastAsia="宋体" w:cs="宋体"/>
                <w:spacing w:val="21"/>
                <w:sz w:val="18"/>
                <w:szCs w:val="18"/>
                <w:lang w:eastAsia="zh-CN"/>
              </w:rPr>
              <w:t>政务</w:t>
            </w:r>
            <w:r>
              <w:rPr>
                <w:rFonts w:hint="eastAsia" w:ascii="宋体" w:hAnsi="宋体" w:eastAsia="宋体" w:cs="宋体"/>
                <w:spacing w:val="-2"/>
                <w:sz w:val="18"/>
                <w:szCs w:val="18"/>
              </w:rPr>
              <w:t>网</w:t>
            </w:r>
            <w:r>
              <w:rPr>
                <w:rFonts w:hint="eastAsia" w:ascii="宋体" w:hAnsi="宋体" w:eastAsia="宋体" w:cs="宋体"/>
                <w:spacing w:val="-1"/>
                <w:sz w:val="18"/>
                <w:szCs w:val="18"/>
              </w:rPr>
              <w:t>情况。</w:t>
            </w:r>
          </w:p>
        </w:tc>
        <w:tc>
          <w:tcPr>
            <w:tcW w:w="934" w:type="dxa"/>
            <w:noWrap w:val="0"/>
            <w:vAlign w:val="top"/>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spacing w:before="59" w:line="236" w:lineRule="auto"/>
              <w:ind w:left="23" w:firstLine="69"/>
              <w:jc w:val="both"/>
              <w:rPr>
                <w:rFonts w:hint="eastAsia" w:ascii="宋体" w:hAnsi="宋体" w:eastAsia="宋体" w:cs="宋体"/>
                <w:spacing w:val="-3"/>
                <w:sz w:val="18"/>
                <w:szCs w:val="18"/>
                <w:lang w:val="en-US" w:eastAsia="zh-CN"/>
              </w:rPr>
            </w:pPr>
          </w:p>
          <w:p>
            <w:pPr>
              <w:spacing w:before="59" w:line="236" w:lineRule="auto"/>
              <w:ind w:left="23" w:firstLine="69"/>
              <w:jc w:val="both"/>
              <w:rPr>
                <w:rFonts w:hint="eastAsia" w:ascii="宋体" w:hAnsi="宋体" w:eastAsia="宋体" w:cs="宋体"/>
                <w:spacing w:val="-3"/>
                <w:sz w:val="18"/>
                <w:szCs w:val="18"/>
                <w:lang w:val="en-US" w:eastAsia="zh-CN"/>
              </w:rPr>
            </w:pPr>
          </w:p>
          <w:p>
            <w:pPr>
              <w:spacing w:before="59" w:line="236" w:lineRule="auto"/>
              <w:ind w:left="23" w:firstLine="69"/>
              <w:jc w:val="both"/>
              <w:rPr>
                <w:rFonts w:hint="eastAsia" w:ascii="宋体" w:hAnsi="宋体" w:eastAsia="宋体" w:cs="宋体"/>
                <w:spacing w:val="-3"/>
                <w:sz w:val="18"/>
                <w:szCs w:val="18"/>
                <w:lang w:val="en-US" w:eastAsia="zh-CN"/>
              </w:rPr>
            </w:pPr>
          </w:p>
          <w:p>
            <w:pPr>
              <w:spacing w:before="59" w:line="236" w:lineRule="auto"/>
              <w:ind w:left="23" w:firstLine="69"/>
              <w:jc w:val="both"/>
              <w:rPr>
                <w:rFonts w:hint="eastAsia" w:ascii="宋体" w:hAnsi="宋体" w:eastAsia="宋体" w:cs="宋体"/>
                <w:spacing w:val="-3"/>
                <w:sz w:val="18"/>
                <w:szCs w:val="18"/>
                <w:lang w:val="en-US" w:eastAsia="zh-CN"/>
              </w:rPr>
            </w:pPr>
          </w:p>
          <w:p>
            <w:pPr>
              <w:spacing w:before="59" w:line="236" w:lineRule="auto"/>
              <w:jc w:val="both"/>
              <w:rPr>
                <w:rFonts w:hint="eastAsia" w:ascii="宋体" w:hAnsi="宋体" w:eastAsia="宋体" w:cs="宋体"/>
                <w:sz w:val="18"/>
                <w:szCs w:val="18"/>
              </w:rPr>
            </w:pPr>
            <w:r>
              <w:rPr>
                <w:rFonts w:hint="eastAsia" w:ascii="宋体" w:hAnsi="宋体" w:eastAsia="宋体" w:cs="宋体"/>
                <w:spacing w:val="-3"/>
                <w:sz w:val="18"/>
                <w:szCs w:val="18"/>
                <w:lang w:val="en-US" w:eastAsia="zh-CN"/>
              </w:rPr>
              <w:t>县</w:t>
            </w:r>
            <w:r>
              <w:rPr>
                <w:rFonts w:hint="eastAsia" w:ascii="宋体" w:hAnsi="宋体" w:eastAsia="宋体" w:cs="宋体"/>
                <w:spacing w:val="-3"/>
                <w:sz w:val="18"/>
                <w:szCs w:val="18"/>
              </w:rPr>
              <w:t>政数</w:t>
            </w:r>
            <w:r>
              <w:rPr>
                <w:rFonts w:hint="eastAsia" w:ascii="宋体" w:hAnsi="宋体" w:eastAsia="宋体" w:cs="宋体"/>
                <w:spacing w:val="-13"/>
                <w:sz w:val="18"/>
                <w:szCs w:val="18"/>
              </w:rPr>
              <w:t>局</w:t>
            </w:r>
            <w:r>
              <w:rPr>
                <w:rFonts w:hint="eastAsia" w:ascii="宋体" w:hAnsi="宋体" w:eastAsia="宋体" w:cs="宋体"/>
                <w:spacing w:val="-12"/>
                <w:sz w:val="18"/>
                <w:szCs w:val="18"/>
              </w:rPr>
              <w:t>牵头，</w:t>
            </w:r>
            <w:r>
              <w:rPr>
                <w:rFonts w:hint="eastAsia" w:ascii="宋体" w:hAnsi="宋体" w:eastAsia="宋体" w:cs="宋体"/>
                <w:spacing w:val="-2"/>
                <w:sz w:val="18"/>
                <w:szCs w:val="18"/>
              </w:rPr>
              <w:t>各有</w:t>
            </w:r>
            <w:r>
              <w:rPr>
                <w:rFonts w:hint="eastAsia" w:ascii="宋体" w:hAnsi="宋体" w:eastAsia="宋体" w:cs="宋体"/>
                <w:spacing w:val="-1"/>
                <w:sz w:val="18"/>
                <w:szCs w:val="18"/>
              </w:rPr>
              <w:t>关</w:t>
            </w:r>
          </w:p>
          <w:p>
            <w:pPr>
              <w:spacing w:before="13" w:line="222" w:lineRule="auto"/>
              <w:ind w:left="34"/>
              <w:jc w:val="center"/>
              <w:rPr>
                <w:rFonts w:hint="eastAsia" w:ascii="宋体" w:hAnsi="宋体" w:eastAsia="宋体" w:cs="宋体"/>
                <w:sz w:val="18"/>
                <w:szCs w:val="18"/>
              </w:rPr>
            </w:pPr>
            <w:r>
              <w:rPr>
                <w:rFonts w:hint="eastAsia" w:ascii="宋体" w:hAnsi="宋体" w:eastAsia="宋体" w:cs="宋体"/>
                <w:spacing w:val="-2"/>
                <w:sz w:val="18"/>
                <w:szCs w:val="18"/>
              </w:rPr>
              <w:t>部门</w:t>
            </w:r>
            <w:r>
              <w:rPr>
                <w:rFonts w:hint="eastAsia" w:ascii="宋体" w:hAnsi="宋体" w:eastAsia="宋体" w:cs="宋体"/>
                <w:spacing w:val="-1"/>
                <w:sz w:val="18"/>
                <w:szCs w:val="18"/>
              </w:rPr>
              <w:t>及</w:t>
            </w:r>
            <w:r>
              <w:rPr>
                <w:rFonts w:hint="eastAsia" w:ascii="宋体" w:hAnsi="宋体" w:eastAsia="宋体" w:cs="宋体"/>
                <w:spacing w:val="-3"/>
                <w:sz w:val="18"/>
                <w:szCs w:val="18"/>
              </w:rPr>
              <w:t>各</w:t>
            </w:r>
            <w:r>
              <w:rPr>
                <w:rFonts w:hint="eastAsia" w:ascii="宋体" w:hAnsi="宋体" w:eastAsia="宋体" w:cs="宋体"/>
                <w:spacing w:val="-2"/>
                <w:sz w:val="18"/>
                <w:szCs w:val="18"/>
                <w:lang w:eastAsia="zh-CN"/>
              </w:rPr>
              <w:t>乡镇</w:t>
            </w:r>
            <w:r>
              <w:rPr>
                <w:rFonts w:hint="eastAsia" w:ascii="宋体" w:hAnsi="宋体" w:eastAsia="宋体" w:cs="宋体"/>
                <w:spacing w:val="-12"/>
                <w:sz w:val="18"/>
                <w:szCs w:val="18"/>
              </w:rPr>
              <w:t>政府</w:t>
            </w:r>
            <w:r>
              <w:rPr>
                <w:rFonts w:hint="eastAsia" w:ascii="宋体" w:hAnsi="宋体" w:eastAsia="宋体" w:cs="宋体"/>
                <w:spacing w:val="-2"/>
                <w:sz w:val="18"/>
                <w:szCs w:val="18"/>
              </w:rPr>
              <w:t>按职</w:t>
            </w:r>
            <w:r>
              <w:rPr>
                <w:rFonts w:hint="eastAsia" w:ascii="宋体" w:hAnsi="宋体" w:eastAsia="宋体" w:cs="宋体"/>
                <w:spacing w:val="-1"/>
                <w:sz w:val="18"/>
                <w:szCs w:val="18"/>
              </w:rPr>
              <w:t>责</w:t>
            </w:r>
            <w:r>
              <w:rPr>
                <w:rFonts w:hint="eastAsia" w:ascii="宋体" w:hAnsi="宋体" w:eastAsia="宋体" w:cs="宋体"/>
                <w:spacing w:val="-2"/>
                <w:sz w:val="18"/>
                <w:szCs w:val="18"/>
              </w:rPr>
              <w:t>分工</w:t>
            </w:r>
            <w:r>
              <w:rPr>
                <w:rFonts w:hint="eastAsia" w:ascii="宋体" w:hAnsi="宋体" w:eastAsia="宋体" w:cs="宋体"/>
                <w:spacing w:val="-1"/>
                <w:sz w:val="18"/>
                <w:szCs w:val="18"/>
              </w:rPr>
              <w:t>负</w:t>
            </w:r>
          </w:p>
          <w:p>
            <w:pPr>
              <w:jc w:val="center"/>
              <w:rPr>
                <w:rFonts w:hint="eastAsia" w:ascii="宋体" w:hAnsi="宋体" w:eastAsia="宋体" w:cs="宋体"/>
                <w:sz w:val="18"/>
                <w:szCs w:val="18"/>
              </w:rPr>
            </w:pPr>
            <w:r>
              <w:rPr>
                <w:rFonts w:hint="eastAsia" w:ascii="宋体" w:hAnsi="宋体" w:eastAsia="宋体" w:cs="宋体"/>
                <w:sz w:val="18"/>
                <w:szCs w:val="18"/>
              </w:rPr>
              <w:t>责</w:t>
            </w:r>
          </w:p>
        </w:tc>
        <w:tc>
          <w:tcPr>
            <w:tcW w:w="940"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谢洪金</w:t>
            </w:r>
          </w:p>
        </w:tc>
        <w:tc>
          <w:tcPr>
            <w:tcW w:w="1142"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数据共享</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管理应用科</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秦战华  15500202356</w:t>
            </w: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683"/>
        <w:gridCol w:w="617"/>
        <w:gridCol w:w="2683"/>
        <w:gridCol w:w="684"/>
        <w:gridCol w:w="2200"/>
        <w:gridCol w:w="1116"/>
        <w:gridCol w:w="1217"/>
        <w:gridCol w:w="1100"/>
        <w:gridCol w:w="1133"/>
        <w:gridCol w:w="934"/>
        <w:gridCol w:w="940"/>
        <w:gridCol w:w="32"/>
        <w:gridCol w:w="1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3"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16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17"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68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684"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4"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2" w:type="dxa"/>
            <w:gridSpan w:val="2"/>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10"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3"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683" w:type="dxa"/>
            <w:vMerge w:val="continue"/>
            <w:tcBorders>
              <w:top w:val="nil"/>
            </w:tcBorders>
            <w:noWrap w:val="0"/>
            <w:vAlign w:val="top"/>
          </w:tcPr>
          <w:p>
            <w:pPr>
              <w:rPr>
                <w:rFonts w:hint="eastAsia" w:ascii="宋体" w:hAnsi="宋体" w:eastAsia="宋体" w:cs="宋体"/>
                <w:sz w:val="18"/>
                <w:szCs w:val="18"/>
                <w:lang w:eastAsia="zh-CN"/>
              </w:rPr>
            </w:pPr>
          </w:p>
        </w:tc>
        <w:tc>
          <w:tcPr>
            <w:tcW w:w="617" w:type="dxa"/>
            <w:vMerge w:val="continue"/>
            <w:tcBorders>
              <w:top w:val="nil"/>
            </w:tcBorders>
            <w:noWrap w:val="0"/>
            <w:vAlign w:val="top"/>
          </w:tcPr>
          <w:p>
            <w:pPr>
              <w:rPr>
                <w:rFonts w:hint="eastAsia" w:ascii="宋体" w:hAnsi="宋体" w:eastAsia="宋体" w:cs="宋体"/>
                <w:sz w:val="18"/>
                <w:szCs w:val="18"/>
              </w:rPr>
            </w:pPr>
          </w:p>
        </w:tc>
        <w:tc>
          <w:tcPr>
            <w:tcW w:w="2683" w:type="dxa"/>
            <w:vMerge w:val="continue"/>
            <w:tcBorders>
              <w:top w:val="nil"/>
            </w:tcBorders>
            <w:noWrap w:val="0"/>
            <w:vAlign w:val="top"/>
          </w:tcPr>
          <w:p>
            <w:pPr>
              <w:rPr>
                <w:rFonts w:hint="eastAsia" w:ascii="宋体" w:hAnsi="宋体" w:eastAsia="宋体" w:cs="宋体"/>
                <w:sz w:val="18"/>
                <w:szCs w:val="18"/>
              </w:rPr>
            </w:pPr>
          </w:p>
        </w:tc>
        <w:tc>
          <w:tcPr>
            <w:tcW w:w="684"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217"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33"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4" w:type="dxa"/>
            <w:vMerge w:val="continue"/>
            <w:tcBorders>
              <w:top w:val="nil"/>
            </w:tcBorders>
            <w:noWrap w:val="0"/>
            <w:vAlign w:val="top"/>
          </w:tcPr>
          <w:p>
            <w:pPr>
              <w:rPr>
                <w:rFonts w:hint="eastAsia" w:ascii="宋体" w:hAnsi="宋体" w:eastAsia="宋体" w:cs="宋体"/>
                <w:sz w:val="18"/>
                <w:szCs w:val="18"/>
              </w:rPr>
            </w:pPr>
          </w:p>
        </w:tc>
        <w:tc>
          <w:tcPr>
            <w:tcW w:w="972" w:type="dxa"/>
            <w:gridSpan w:val="2"/>
            <w:vMerge w:val="continue"/>
            <w:noWrap w:val="0"/>
            <w:vAlign w:val="top"/>
          </w:tcPr>
          <w:p>
            <w:pPr>
              <w:rPr>
                <w:rFonts w:hint="eastAsia" w:ascii="宋体" w:hAnsi="宋体" w:eastAsia="宋体" w:cs="宋体"/>
                <w:sz w:val="18"/>
                <w:szCs w:val="18"/>
              </w:rPr>
            </w:pPr>
          </w:p>
        </w:tc>
        <w:tc>
          <w:tcPr>
            <w:tcW w:w="1110"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trPr>
        <w:tc>
          <w:tcPr>
            <w:tcW w:w="383"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68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提升政务信息资源归集共享开放能力。持续推动政务信息资源归集共享，加强数 据供需对接，积极稳妥推动省市两级部门政务数据开放。建设各地平台数据直达系统，改造省数据供需对接系统和省数据共享受理服务系统，依托全国一体化政务数据共享枢纽，完成国家 数据直达基层试点任务。</w:t>
            </w:r>
          </w:p>
        </w:tc>
        <w:tc>
          <w:tcPr>
            <w:tcW w:w="61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省政数 局牵头，各有关部门及各市、县政府按职责分工负责</w:t>
            </w:r>
          </w:p>
        </w:tc>
        <w:tc>
          <w:tcPr>
            <w:tcW w:w="268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①落实《白山市数据归集共享水平 提升工作实施方案》，继续推动政 务信息化资源归集共享，提升数据 标准化水平。               ②推动吉林省数据供需对接平台白山端应用,开展数据供需对接工作，为民政等部门专项数据需求提供技术支持及专门培训。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③按省级工作安排组织开展数据开放工作,推广应用数据开放平台，积极稳妥推进公共数据信息资源开放，激活政务数据价值。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④基于全市政务数据目录平台，按 照上级工作部署，开展数据目录集 中治理活动。</w:t>
            </w:r>
          </w:p>
          <w:p>
            <w:pPr>
              <w:rPr>
                <w:rFonts w:hint="eastAsia" w:ascii="宋体" w:hAnsi="宋体" w:eastAsia="宋体" w:cs="宋体"/>
                <w:sz w:val="18"/>
                <w:szCs w:val="18"/>
                <w:lang w:val="en-US" w:eastAsia="zh-CN"/>
              </w:rPr>
            </w:pPr>
          </w:p>
        </w:tc>
        <w:tc>
          <w:tcPr>
            <w:tcW w:w="684"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市政数 局牵头，</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各有关</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部门及</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各县(市、区) 政府按职责分工负责</w:t>
            </w:r>
          </w:p>
        </w:tc>
        <w:tc>
          <w:tcPr>
            <w:tcW w:w="2200"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①持续推动政务信息化资源归集共享，提升数据标准化水平。                      ②按上级工作部署推动吉林省数据供需对接平台靖宇端应用,开展数据供需对接工作。</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③按上级工作部署组织开展数据开放工作,推广数据开放平台，积极稳妥推进公共数据信息资源开放。</w:t>
            </w:r>
          </w:p>
          <w:p>
            <w:pPr>
              <w:jc w:val="left"/>
              <w:rPr>
                <w:rFonts w:hint="eastAsia" w:ascii="宋体" w:hAnsi="宋体" w:eastAsia="宋体" w:cs="宋体"/>
                <w:sz w:val="18"/>
                <w:szCs w:val="18"/>
                <w:lang w:eastAsia="zh-CN"/>
              </w:rPr>
            </w:pPr>
            <w:r>
              <w:rPr>
                <w:rFonts w:hint="eastAsia" w:ascii="宋体" w:hAnsi="宋体" w:eastAsia="宋体" w:cs="宋体"/>
                <w:sz w:val="18"/>
                <w:szCs w:val="18"/>
                <w:lang w:val="en-US" w:eastAsia="zh-CN"/>
              </w:rPr>
              <w:t>④按上级工作部署，开展数据目录集中治理活动。</w:t>
            </w:r>
          </w:p>
        </w:tc>
        <w:tc>
          <w:tcPr>
            <w:tcW w:w="1116" w:type="dxa"/>
            <w:noWrap w:val="0"/>
            <w:vAlign w:val="top"/>
          </w:tcPr>
          <w:p>
            <w:pPr>
              <w:jc w:val="left"/>
              <w:rPr>
                <w:rFonts w:hint="eastAsia" w:ascii="宋体" w:hAnsi="宋体" w:eastAsia="宋体" w:cs="宋体"/>
                <w:spacing w:val="21"/>
                <w:sz w:val="18"/>
                <w:szCs w:val="18"/>
              </w:rPr>
            </w:pPr>
          </w:p>
          <w:p>
            <w:pPr>
              <w:jc w:val="left"/>
              <w:rPr>
                <w:rFonts w:hint="eastAsia" w:ascii="宋体" w:hAnsi="宋体" w:eastAsia="宋体" w:cs="宋体"/>
                <w:sz w:val="18"/>
                <w:szCs w:val="18"/>
              </w:rPr>
            </w:pPr>
            <w:r>
              <w:rPr>
                <w:rFonts w:hint="eastAsia" w:ascii="宋体" w:hAnsi="宋体" w:eastAsia="宋体" w:cs="宋体"/>
                <w:spacing w:val="21"/>
                <w:sz w:val="18"/>
                <w:szCs w:val="18"/>
              </w:rPr>
              <w:t>开</w:t>
            </w:r>
            <w:r>
              <w:rPr>
                <w:rFonts w:hint="eastAsia" w:ascii="宋体" w:hAnsi="宋体" w:eastAsia="宋体" w:cs="宋体"/>
                <w:spacing w:val="17"/>
                <w:sz w:val="18"/>
                <w:szCs w:val="18"/>
              </w:rPr>
              <w:t>展数据标准化</w:t>
            </w:r>
            <w:r>
              <w:rPr>
                <w:rFonts w:hint="eastAsia" w:ascii="宋体" w:hAnsi="宋体" w:eastAsia="宋体" w:cs="宋体"/>
                <w:spacing w:val="5"/>
                <w:sz w:val="18"/>
                <w:szCs w:val="18"/>
              </w:rPr>
              <w:t>工</w:t>
            </w:r>
            <w:r>
              <w:rPr>
                <w:rFonts w:hint="eastAsia" w:ascii="宋体" w:hAnsi="宋体" w:eastAsia="宋体" w:cs="宋体"/>
                <w:spacing w:val="4"/>
                <w:sz w:val="18"/>
                <w:szCs w:val="18"/>
              </w:rPr>
              <w:t>作 。持续落实</w:t>
            </w:r>
            <w:r>
              <w:rPr>
                <w:rFonts w:hint="eastAsia" w:ascii="宋体" w:hAnsi="宋体" w:eastAsia="宋体" w:cs="宋体"/>
                <w:sz w:val="18"/>
                <w:szCs w:val="18"/>
              </w:rPr>
              <w:t xml:space="preserve"> </w:t>
            </w:r>
            <w:r>
              <w:rPr>
                <w:rFonts w:hint="eastAsia" w:ascii="宋体" w:hAnsi="宋体" w:eastAsia="宋体" w:cs="宋体"/>
                <w:spacing w:val="5"/>
                <w:sz w:val="18"/>
                <w:szCs w:val="18"/>
              </w:rPr>
              <w:t>《</w:t>
            </w:r>
            <w:r>
              <w:rPr>
                <w:rFonts w:hint="eastAsia" w:ascii="宋体" w:hAnsi="宋体" w:eastAsia="宋体" w:cs="宋体"/>
                <w:spacing w:val="4"/>
                <w:sz w:val="18"/>
                <w:szCs w:val="18"/>
              </w:rPr>
              <w:t xml:space="preserve"> 白山市数据归</w:t>
            </w:r>
            <w:r>
              <w:rPr>
                <w:rFonts w:hint="eastAsia" w:ascii="宋体" w:hAnsi="宋体" w:eastAsia="宋体" w:cs="宋体"/>
                <w:sz w:val="18"/>
                <w:szCs w:val="18"/>
              </w:rPr>
              <w:t xml:space="preserve"> </w:t>
            </w:r>
            <w:r>
              <w:rPr>
                <w:rFonts w:hint="eastAsia" w:ascii="宋体" w:hAnsi="宋体" w:eastAsia="宋体" w:cs="宋体"/>
                <w:spacing w:val="21"/>
                <w:sz w:val="18"/>
                <w:szCs w:val="18"/>
              </w:rPr>
              <w:t>集</w:t>
            </w:r>
            <w:r>
              <w:rPr>
                <w:rFonts w:hint="eastAsia" w:ascii="宋体" w:hAnsi="宋体" w:eastAsia="宋体" w:cs="宋体"/>
                <w:spacing w:val="17"/>
                <w:sz w:val="18"/>
                <w:szCs w:val="18"/>
              </w:rPr>
              <w:t>共享水平提升</w:t>
            </w:r>
            <w:r>
              <w:rPr>
                <w:rFonts w:hint="eastAsia" w:ascii="宋体" w:hAnsi="宋体" w:eastAsia="宋体" w:cs="宋体"/>
                <w:spacing w:val="-8"/>
                <w:sz w:val="18"/>
                <w:szCs w:val="18"/>
              </w:rPr>
              <w:t>工</w:t>
            </w:r>
            <w:r>
              <w:rPr>
                <w:rFonts w:hint="eastAsia" w:ascii="宋体" w:hAnsi="宋体" w:eastAsia="宋体" w:cs="宋体"/>
                <w:spacing w:val="-6"/>
                <w:sz w:val="18"/>
                <w:szCs w:val="18"/>
              </w:rPr>
              <w:t>作实施方案》，</w:t>
            </w:r>
            <w:r>
              <w:rPr>
                <w:rFonts w:hint="eastAsia" w:ascii="宋体" w:hAnsi="宋体" w:eastAsia="宋体" w:cs="宋体"/>
                <w:sz w:val="18"/>
                <w:szCs w:val="18"/>
              </w:rPr>
              <w:t xml:space="preserve"> </w:t>
            </w:r>
            <w:r>
              <w:rPr>
                <w:rFonts w:hint="eastAsia" w:ascii="宋体" w:hAnsi="宋体" w:eastAsia="宋体" w:cs="宋体"/>
                <w:spacing w:val="21"/>
                <w:sz w:val="18"/>
                <w:szCs w:val="18"/>
              </w:rPr>
              <w:t>指</w:t>
            </w:r>
            <w:r>
              <w:rPr>
                <w:rFonts w:hint="eastAsia" w:ascii="宋体" w:hAnsi="宋体" w:eastAsia="宋体" w:cs="宋体"/>
                <w:spacing w:val="17"/>
                <w:sz w:val="18"/>
                <w:szCs w:val="18"/>
              </w:rPr>
              <w:t>导全</w:t>
            </w:r>
            <w:r>
              <w:rPr>
                <w:rFonts w:hint="eastAsia" w:ascii="宋体" w:hAnsi="宋体" w:eastAsia="宋体" w:cs="宋体"/>
                <w:spacing w:val="17"/>
                <w:sz w:val="18"/>
                <w:szCs w:val="18"/>
                <w:lang w:eastAsia="zh-CN"/>
              </w:rPr>
              <w:t>县</w:t>
            </w:r>
            <w:r>
              <w:rPr>
                <w:rFonts w:hint="eastAsia" w:ascii="宋体" w:hAnsi="宋体" w:eastAsia="宋体" w:cs="宋体"/>
                <w:spacing w:val="17"/>
                <w:sz w:val="18"/>
                <w:szCs w:val="18"/>
              </w:rPr>
              <w:t>各</w:t>
            </w:r>
            <w:r>
              <w:rPr>
                <w:rFonts w:hint="eastAsia" w:ascii="宋体" w:hAnsi="宋体" w:eastAsia="宋体" w:cs="宋体"/>
                <w:sz w:val="18"/>
                <w:szCs w:val="18"/>
              </w:rPr>
              <w:t xml:space="preserve"> </w:t>
            </w:r>
            <w:r>
              <w:rPr>
                <w:rFonts w:hint="eastAsia" w:ascii="宋体" w:hAnsi="宋体" w:eastAsia="宋体" w:cs="宋体"/>
                <w:sz w:val="18"/>
                <w:szCs w:val="18"/>
                <w:lang w:eastAsia="zh-CN"/>
              </w:rPr>
              <w:t>有关</w:t>
            </w:r>
            <w:r>
              <w:rPr>
                <w:rFonts w:hint="eastAsia" w:ascii="宋体" w:hAnsi="宋体" w:eastAsia="宋体" w:cs="宋体"/>
                <w:spacing w:val="21"/>
                <w:sz w:val="18"/>
                <w:szCs w:val="18"/>
              </w:rPr>
              <w:t>部</w:t>
            </w:r>
            <w:r>
              <w:rPr>
                <w:rFonts w:hint="eastAsia" w:ascii="宋体" w:hAnsi="宋体" w:eastAsia="宋体" w:cs="宋体"/>
                <w:spacing w:val="17"/>
                <w:sz w:val="18"/>
                <w:szCs w:val="18"/>
              </w:rPr>
              <w:t>门对政务数据</w:t>
            </w:r>
            <w:r>
              <w:rPr>
                <w:rFonts w:hint="eastAsia" w:ascii="宋体" w:hAnsi="宋体" w:eastAsia="宋体" w:cs="宋体"/>
                <w:spacing w:val="21"/>
                <w:sz w:val="18"/>
                <w:szCs w:val="18"/>
              </w:rPr>
              <w:t>信</w:t>
            </w:r>
            <w:r>
              <w:rPr>
                <w:rFonts w:hint="eastAsia" w:ascii="宋体" w:hAnsi="宋体" w:eastAsia="宋体" w:cs="宋体"/>
                <w:spacing w:val="17"/>
                <w:sz w:val="18"/>
                <w:szCs w:val="18"/>
              </w:rPr>
              <w:t>息资源的完整</w:t>
            </w:r>
            <w:r>
              <w:rPr>
                <w:rFonts w:hint="eastAsia" w:ascii="宋体" w:hAnsi="宋体" w:eastAsia="宋体" w:cs="宋体"/>
                <w:spacing w:val="-8"/>
                <w:sz w:val="18"/>
                <w:szCs w:val="18"/>
              </w:rPr>
              <w:t>性</w:t>
            </w:r>
            <w:r>
              <w:rPr>
                <w:rFonts w:hint="eastAsia" w:ascii="宋体" w:hAnsi="宋体" w:eastAsia="宋体" w:cs="宋体"/>
                <w:spacing w:val="-7"/>
                <w:sz w:val="18"/>
                <w:szCs w:val="18"/>
              </w:rPr>
              <w:t>、准确性、有效</w:t>
            </w:r>
            <w:r>
              <w:rPr>
                <w:rFonts w:hint="eastAsia" w:ascii="宋体" w:hAnsi="宋体" w:eastAsia="宋体" w:cs="宋体"/>
                <w:spacing w:val="-8"/>
                <w:sz w:val="18"/>
                <w:szCs w:val="18"/>
              </w:rPr>
              <w:t>性</w:t>
            </w:r>
            <w:r>
              <w:rPr>
                <w:rFonts w:hint="eastAsia" w:ascii="宋体" w:hAnsi="宋体" w:eastAsia="宋体" w:cs="宋体"/>
                <w:spacing w:val="-7"/>
                <w:sz w:val="18"/>
                <w:szCs w:val="18"/>
              </w:rPr>
              <w:t>、时效性进行整</w:t>
            </w:r>
            <w:r>
              <w:rPr>
                <w:rFonts w:hint="eastAsia" w:ascii="宋体" w:hAnsi="宋体" w:eastAsia="宋体" w:cs="宋体"/>
                <w:spacing w:val="-4"/>
                <w:sz w:val="18"/>
                <w:szCs w:val="18"/>
              </w:rPr>
              <w:t>治</w:t>
            </w:r>
            <w:r>
              <w:rPr>
                <w:rFonts w:hint="eastAsia" w:ascii="宋体" w:hAnsi="宋体" w:eastAsia="宋体" w:cs="宋体"/>
                <w:spacing w:val="-2"/>
                <w:sz w:val="18"/>
                <w:szCs w:val="18"/>
              </w:rPr>
              <w:t>。</w:t>
            </w:r>
          </w:p>
        </w:tc>
        <w:tc>
          <w:tcPr>
            <w:tcW w:w="1217" w:type="dxa"/>
            <w:noWrap w:val="0"/>
            <w:vAlign w:val="top"/>
          </w:tcPr>
          <w:p>
            <w:pPr>
              <w:jc w:val="both"/>
              <w:rPr>
                <w:rFonts w:hint="eastAsia" w:ascii="宋体" w:hAnsi="宋体" w:eastAsia="宋体" w:cs="宋体"/>
                <w:spacing w:val="9"/>
                <w:sz w:val="18"/>
                <w:szCs w:val="18"/>
              </w:rPr>
            </w:pPr>
          </w:p>
          <w:p>
            <w:pPr>
              <w:jc w:val="both"/>
              <w:rPr>
                <w:rFonts w:hint="eastAsia" w:ascii="宋体" w:hAnsi="宋体" w:eastAsia="宋体" w:cs="宋体"/>
                <w:sz w:val="18"/>
                <w:szCs w:val="18"/>
              </w:rPr>
            </w:pPr>
            <w:r>
              <w:rPr>
                <w:rFonts w:hint="eastAsia" w:ascii="宋体" w:hAnsi="宋体" w:eastAsia="宋体" w:cs="宋体"/>
                <w:spacing w:val="9"/>
                <w:sz w:val="18"/>
                <w:szCs w:val="18"/>
              </w:rPr>
              <w:t>开展“数据专员</w:t>
            </w:r>
            <w:r>
              <w:rPr>
                <w:rFonts w:hint="eastAsia" w:ascii="宋体" w:hAnsi="宋体" w:eastAsia="宋体" w:cs="宋体"/>
                <w:spacing w:val="7"/>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eastAsia="zh-CN"/>
              </w:rPr>
              <w:t>业务</w:t>
            </w:r>
            <w:r>
              <w:rPr>
                <w:rFonts w:hint="eastAsia" w:ascii="宋体" w:hAnsi="宋体" w:eastAsia="宋体" w:cs="宋体"/>
                <w:spacing w:val="11"/>
                <w:sz w:val="18"/>
                <w:szCs w:val="18"/>
              </w:rPr>
              <w:t>培训</w:t>
            </w:r>
            <w:r>
              <w:rPr>
                <w:rFonts w:hint="eastAsia" w:ascii="宋体" w:hAnsi="宋体" w:eastAsia="宋体" w:cs="宋体"/>
                <w:spacing w:val="11"/>
                <w:sz w:val="18"/>
                <w:szCs w:val="18"/>
                <w:lang w:eastAsia="zh-CN"/>
              </w:rPr>
              <w:t>，</w:t>
            </w:r>
            <w:r>
              <w:rPr>
                <w:rFonts w:hint="eastAsia" w:ascii="宋体" w:hAnsi="宋体" w:eastAsia="宋体" w:cs="宋体"/>
                <w:spacing w:val="10"/>
                <w:sz w:val="18"/>
                <w:szCs w:val="18"/>
              </w:rPr>
              <w:t>提</w:t>
            </w:r>
            <w:r>
              <w:rPr>
                <w:rFonts w:hint="eastAsia" w:ascii="宋体" w:hAnsi="宋体" w:eastAsia="宋体" w:cs="宋体"/>
                <w:sz w:val="18"/>
                <w:szCs w:val="18"/>
              </w:rPr>
              <w:t xml:space="preserve">  </w:t>
            </w:r>
            <w:r>
              <w:rPr>
                <w:rFonts w:hint="eastAsia" w:ascii="宋体" w:hAnsi="宋体" w:eastAsia="宋体" w:cs="宋体"/>
                <w:spacing w:val="11"/>
                <w:sz w:val="18"/>
                <w:szCs w:val="18"/>
              </w:rPr>
              <w:t>升部</w:t>
            </w:r>
            <w:r>
              <w:rPr>
                <w:rFonts w:hint="eastAsia" w:ascii="宋体" w:hAnsi="宋体" w:eastAsia="宋体" w:cs="宋体"/>
                <w:spacing w:val="10"/>
                <w:sz w:val="18"/>
                <w:szCs w:val="18"/>
              </w:rPr>
              <w:t>门</w:t>
            </w:r>
            <w:r>
              <w:rPr>
                <w:rFonts w:hint="eastAsia" w:ascii="宋体" w:hAnsi="宋体" w:eastAsia="宋体" w:cs="宋体"/>
                <w:sz w:val="18"/>
                <w:szCs w:val="18"/>
              </w:rPr>
              <w:t xml:space="preserve"> </w:t>
            </w:r>
            <w:r>
              <w:rPr>
                <w:rFonts w:hint="eastAsia" w:ascii="宋体" w:hAnsi="宋体" w:eastAsia="宋体" w:cs="宋体"/>
                <w:spacing w:val="11"/>
                <w:sz w:val="18"/>
                <w:szCs w:val="18"/>
              </w:rPr>
              <w:t>“数据专员”数据共享系平台操作使用</w:t>
            </w:r>
            <w:r>
              <w:rPr>
                <w:rFonts w:hint="eastAsia" w:ascii="宋体" w:hAnsi="宋体" w:eastAsia="宋体" w:cs="宋体"/>
                <w:spacing w:val="10"/>
                <w:sz w:val="18"/>
                <w:szCs w:val="18"/>
              </w:rPr>
              <w:t>能</w:t>
            </w:r>
            <w:r>
              <w:rPr>
                <w:rFonts w:hint="eastAsia" w:ascii="宋体" w:hAnsi="宋体" w:eastAsia="宋体" w:cs="宋体"/>
                <w:spacing w:val="7"/>
                <w:sz w:val="18"/>
                <w:szCs w:val="18"/>
              </w:rPr>
              <w:t>力</w:t>
            </w:r>
            <w:r>
              <w:rPr>
                <w:rFonts w:hint="eastAsia" w:ascii="宋体" w:hAnsi="宋体" w:eastAsia="宋体" w:cs="宋体"/>
                <w:spacing w:val="6"/>
                <w:sz w:val="18"/>
                <w:szCs w:val="18"/>
              </w:rPr>
              <w:t>。</w:t>
            </w:r>
            <w:r>
              <w:rPr>
                <w:rFonts w:hint="eastAsia" w:ascii="宋体" w:hAnsi="宋体" w:eastAsia="宋体" w:cs="宋体"/>
                <w:spacing w:val="11"/>
                <w:sz w:val="18"/>
                <w:szCs w:val="18"/>
              </w:rPr>
              <w:t>持</w:t>
            </w:r>
            <w:r>
              <w:rPr>
                <w:rFonts w:hint="eastAsia" w:ascii="宋体" w:hAnsi="宋体" w:eastAsia="宋体" w:cs="宋体"/>
                <w:spacing w:val="10"/>
                <w:sz w:val="18"/>
                <w:szCs w:val="18"/>
              </w:rPr>
              <w:t>续</w:t>
            </w:r>
            <w:r>
              <w:rPr>
                <w:rFonts w:hint="eastAsia" w:ascii="宋体" w:hAnsi="宋体" w:eastAsia="宋体" w:cs="宋体"/>
                <w:spacing w:val="11"/>
                <w:sz w:val="18"/>
                <w:szCs w:val="18"/>
              </w:rPr>
              <w:t>推动数据供需</w:t>
            </w:r>
            <w:r>
              <w:rPr>
                <w:rFonts w:hint="eastAsia" w:ascii="宋体" w:hAnsi="宋体" w:eastAsia="宋体" w:cs="宋体"/>
                <w:spacing w:val="10"/>
                <w:sz w:val="18"/>
                <w:szCs w:val="18"/>
              </w:rPr>
              <w:t>对</w:t>
            </w:r>
            <w:r>
              <w:rPr>
                <w:rFonts w:hint="eastAsia" w:ascii="宋体" w:hAnsi="宋体" w:eastAsia="宋体" w:cs="宋体"/>
                <w:spacing w:val="12"/>
                <w:sz w:val="18"/>
                <w:szCs w:val="18"/>
              </w:rPr>
              <w:t>接，做好协调、</w:t>
            </w:r>
            <w:r>
              <w:rPr>
                <w:rFonts w:hint="eastAsia" w:ascii="宋体" w:hAnsi="宋体" w:eastAsia="宋体" w:cs="宋体"/>
                <w:sz w:val="18"/>
                <w:szCs w:val="18"/>
              </w:rPr>
              <w:t xml:space="preserve"> </w:t>
            </w:r>
            <w:r>
              <w:rPr>
                <w:rFonts w:hint="eastAsia" w:ascii="宋体" w:hAnsi="宋体" w:eastAsia="宋体" w:cs="宋体"/>
                <w:spacing w:val="11"/>
                <w:sz w:val="18"/>
                <w:szCs w:val="18"/>
              </w:rPr>
              <w:t>催办，为部门</w:t>
            </w:r>
            <w:r>
              <w:rPr>
                <w:rFonts w:hint="eastAsia" w:ascii="宋体" w:hAnsi="宋体" w:eastAsia="宋体" w:cs="宋体"/>
                <w:spacing w:val="10"/>
                <w:sz w:val="18"/>
                <w:szCs w:val="18"/>
              </w:rPr>
              <w:t>专</w:t>
            </w:r>
            <w:r>
              <w:rPr>
                <w:rFonts w:hint="eastAsia" w:ascii="宋体" w:hAnsi="宋体" w:eastAsia="宋体" w:cs="宋体"/>
                <w:spacing w:val="11"/>
                <w:sz w:val="18"/>
                <w:szCs w:val="18"/>
              </w:rPr>
              <w:t>项数据需求提</w:t>
            </w:r>
            <w:r>
              <w:rPr>
                <w:rFonts w:hint="eastAsia" w:ascii="宋体" w:hAnsi="宋体" w:eastAsia="宋体" w:cs="宋体"/>
                <w:spacing w:val="10"/>
                <w:sz w:val="18"/>
                <w:szCs w:val="18"/>
              </w:rPr>
              <w:t>供</w:t>
            </w:r>
            <w:r>
              <w:rPr>
                <w:rFonts w:hint="eastAsia" w:ascii="宋体" w:hAnsi="宋体" w:eastAsia="宋体" w:cs="宋体"/>
                <w:spacing w:val="11"/>
                <w:sz w:val="18"/>
                <w:szCs w:val="18"/>
              </w:rPr>
              <w:t>技术支持及专</w:t>
            </w:r>
            <w:r>
              <w:rPr>
                <w:rFonts w:hint="eastAsia" w:ascii="宋体" w:hAnsi="宋体" w:eastAsia="宋体" w:cs="宋体"/>
                <w:spacing w:val="10"/>
                <w:sz w:val="18"/>
                <w:szCs w:val="18"/>
              </w:rPr>
              <w:t>门</w:t>
            </w:r>
            <w:r>
              <w:rPr>
                <w:rFonts w:hint="eastAsia" w:ascii="宋体" w:hAnsi="宋体" w:eastAsia="宋体" w:cs="宋体"/>
                <w:spacing w:val="11"/>
                <w:sz w:val="18"/>
                <w:szCs w:val="18"/>
              </w:rPr>
              <w:t>培训</w:t>
            </w:r>
            <w:r>
              <w:rPr>
                <w:rFonts w:hint="eastAsia" w:ascii="宋体" w:hAnsi="宋体" w:eastAsia="宋体" w:cs="宋体"/>
                <w:spacing w:val="11"/>
                <w:sz w:val="18"/>
                <w:szCs w:val="18"/>
                <w:lang w:eastAsia="zh-CN"/>
              </w:rPr>
              <w:t>。</w:t>
            </w:r>
          </w:p>
        </w:tc>
        <w:tc>
          <w:tcPr>
            <w:tcW w:w="1100" w:type="dxa"/>
            <w:noWrap w:val="0"/>
            <w:vAlign w:val="top"/>
          </w:tcPr>
          <w:p>
            <w:pPr>
              <w:jc w:val="center"/>
              <w:rPr>
                <w:rFonts w:hint="eastAsia" w:ascii="宋体" w:hAnsi="宋体" w:eastAsia="宋体" w:cs="宋体"/>
                <w:spacing w:val="4"/>
                <w:sz w:val="18"/>
                <w:szCs w:val="18"/>
              </w:rPr>
            </w:pPr>
          </w:p>
          <w:p>
            <w:pPr>
              <w:jc w:val="both"/>
              <w:rPr>
                <w:rFonts w:hint="eastAsia" w:ascii="宋体" w:hAnsi="宋体" w:eastAsia="宋体" w:cs="宋体"/>
                <w:sz w:val="18"/>
                <w:szCs w:val="18"/>
              </w:rPr>
            </w:pPr>
            <w:r>
              <w:rPr>
                <w:rFonts w:hint="eastAsia" w:ascii="宋体" w:hAnsi="宋体" w:eastAsia="宋体" w:cs="宋体"/>
                <w:spacing w:val="4"/>
                <w:sz w:val="18"/>
                <w:szCs w:val="18"/>
              </w:rPr>
              <w:t>开展数据开放</w:t>
            </w:r>
            <w:r>
              <w:rPr>
                <w:rFonts w:hint="eastAsia" w:ascii="宋体" w:hAnsi="宋体" w:eastAsia="宋体" w:cs="宋体"/>
                <w:sz w:val="18"/>
                <w:szCs w:val="18"/>
              </w:rPr>
              <w:t xml:space="preserve"> </w:t>
            </w:r>
            <w:r>
              <w:rPr>
                <w:rFonts w:hint="eastAsia" w:ascii="宋体" w:hAnsi="宋体" w:eastAsia="宋体" w:cs="宋体"/>
                <w:spacing w:val="6"/>
                <w:sz w:val="18"/>
                <w:szCs w:val="18"/>
              </w:rPr>
              <w:t>应</w:t>
            </w:r>
            <w:r>
              <w:rPr>
                <w:rFonts w:hint="eastAsia" w:ascii="宋体" w:hAnsi="宋体" w:eastAsia="宋体" w:cs="宋体"/>
                <w:spacing w:val="4"/>
                <w:sz w:val="18"/>
                <w:szCs w:val="18"/>
              </w:rPr>
              <w:t>用工作。按</w:t>
            </w:r>
            <w:r>
              <w:rPr>
                <w:rFonts w:hint="eastAsia" w:ascii="宋体" w:hAnsi="宋体" w:eastAsia="宋体" w:cs="宋体"/>
                <w:spacing w:val="6"/>
                <w:sz w:val="18"/>
                <w:szCs w:val="18"/>
              </w:rPr>
              <w:t>照</w:t>
            </w:r>
            <w:r>
              <w:rPr>
                <w:rFonts w:hint="eastAsia" w:ascii="宋体" w:hAnsi="宋体" w:eastAsia="宋体" w:cs="宋体"/>
                <w:spacing w:val="4"/>
                <w:sz w:val="18"/>
                <w:szCs w:val="18"/>
              </w:rPr>
              <w:t>省级工作进</w:t>
            </w:r>
            <w:r>
              <w:rPr>
                <w:rFonts w:hint="eastAsia" w:ascii="宋体" w:hAnsi="宋体" w:eastAsia="宋体" w:cs="宋体"/>
                <w:spacing w:val="6"/>
                <w:sz w:val="18"/>
                <w:szCs w:val="18"/>
              </w:rPr>
              <w:t>度</w:t>
            </w:r>
            <w:r>
              <w:rPr>
                <w:rFonts w:hint="eastAsia" w:ascii="宋体" w:hAnsi="宋体" w:eastAsia="宋体" w:cs="宋体"/>
                <w:spacing w:val="4"/>
                <w:sz w:val="18"/>
                <w:szCs w:val="18"/>
              </w:rPr>
              <w:t>安排，推广</w:t>
            </w:r>
            <w:r>
              <w:rPr>
                <w:rFonts w:hint="eastAsia" w:ascii="宋体" w:hAnsi="宋体" w:eastAsia="宋体" w:cs="宋体"/>
                <w:spacing w:val="6"/>
                <w:sz w:val="18"/>
                <w:szCs w:val="18"/>
              </w:rPr>
              <w:t>应</w:t>
            </w:r>
            <w:r>
              <w:rPr>
                <w:rFonts w:hint="eastAsia" w:ascii="宋体" w:hAnsi="宋体" w:eastAsia="宋体" w:cs="宋体"/>
                <w:spacing w:val="4"/>
                <w:sz w:val="18"/>
                <w:szCs w:val="18"/>
              </w:rPr>
              <w:t>用</w:t>
            </w:r>
            <w:r>
              <w:rPr>
                <w:rFonts w:hint="eastAsia" w:ascii="宋体" w:hAnsi="宋体" w:eastAsia="宋体" w:cs="宋体"/>
                <w:spacing w:val="4"/>
                <w:sz w:val="18"/>
                <w:szCs w:val="18"/>
                <w:lang w:eastAsia="zh-CN"/>
              </w:rPr>
              <w:t>靖宇县</w:t>
            </w:r>
            <w:r>
              <w:rPr>
                <w:rFonts w:hint="eastAsia" w:ascii="宋体" w:hAnsi="宋体" w:eastAsia="宋体" w:cs="宋体"/>
                <w:spacing w:val="4"/>
                <w:sz w:val="18"/>
                <w:szCs w:val="18"/>
              </w:rPr>
              <w:t>数</w:t>
            </w:r>
            <w:r>
              <w:rPr>
                <w:rFonts w:hint="eastAsia" w:ascii="宋体" w:hAnsi="宋体" w:eastAsia="宋体" w:cs="宋体"/>
                <w:spacing w:val="6"/>
                <w:sz w:val="18"/>
                <w:szCs w:val="18"/>
              </w:rPr>
              <w:t>据</w:t>
            </w:r>
            <w:r>
              <w:rPr>
                <w:rFonts w:hint="eastAsia" w:ascii="宋体" w:hAnsi="宋体" w:eastAsia="宋体" w:cs="宋体"/>
                <w:spacing w:val="4"/>
                <w:sz w:val="18"/>
                <w:szCs w:val="18"/>
              </w:rPr>
              <w:t>开放平台，</w:t>
            </w:r>
            <w:r>
              <w:rPr>
                <w:rFonts w:hint="eastAsia" w:ascii="宋体" w:hAnsi="宋体" w:eastAsia="宋体" w:cs="宋体"/>
                <w:spacing w:val="6"/>
                <w:sz w:val="18"/>
                <w:szCs w:val="18"/>
              </w:rPr>
              <w:t>指</w:t>
            </w:r>
            <w:r>
              <w:rPr>
                <w:rFonts w:hint="eastAsia" w:ascii="宋体" w:hAnsi="宋体" w:eastAsia="宋体" w:cs="宋体"/>
                <w:spacing w:val="4"/>
                <w:sz w:val="18"/>
                <w:szCs w:val="18"/>
              </w:rPr>
              <w:t>导部门更新</w:t>
            </w:r>
            <w:r>
              <w:rPr>
                <w:rFonts w:hint="eastAsia" w:ascii="宋体" w:hAnsi="宋体" w:eastAsia="宋体" w:cs="宋体"/>
                <w:spacing w:val="6"/>
                <w:sz w:val="18"/>
                <w:szCs w:val="18"/>
              </w:rPr>
              <w:t>维</w:t>
            </w:r>
            <w:r>
              <w:rPr>
                <w:rFonts w:hint="eastAsia" w:ascii="宋体" w:hAnsi="宋体" w:eastAsia="宋体" w:cs="宋体"/>
                <w:spacing w:val="4"/>
                <w:sz w:val="18"/>
                <w:szCs w:val="18"/>
              </w:rPr>
              <w:t>护公共信息</w:t>
            </w:r>
            <w:r>
              <w:rPr>
                <w:rFonts w:hint="eastAsia" w:ascii="宋体" w:hAnsi="宋体" w:eastAsia="宋体" w:cs="宋体"/>
                <w:sz w:val="18"/>
                <w:szCs w:val="18"/>
              </w:rPr>
              <w:t xml:space="preserve"> </w:t>
            </w:r>
            <w:r>
              <w:rPr>
                <w:rFonts w:hint="eastAsia" w:ascii="宋体" w:hAnsi="宋体" w:eastAsia="宋体" w:cs="宋体"/>
                <w:spacing w:val="6"/>
                <w:sz w:val="18"/>
                <w:szCs w:val="18"/>
              </w:rPr>
              <w:t>资</w:t>
            </w:r>
            <w:r>
              <w:rPr>
                <w:rFonts w:hint="eastAsia" w:ascii="宋体" w:hAnsi="宋体" w:eastAsia="宋体" w:cs="宋体"/>
                <w:spacing w:val="4"/>
                <w:sz w:val="18"/>
                <w:szCs w:val="18"/>
              </w:rPr>
              <w:t>源目录，动</w:t>
            </w:r>
            <w:r>
              <w:rPr>
                <w:rFonts w:hint="eastAsia" w:ascii="宋体" w:hAnsi="宋体" w:eastAsia="宋体" w:cs="宋体"/>
                <w:sz w:val="18"/>
                <w:szCs w:val="18"/>
              </w:rPr>
              <w:t xml:space="preserve"> </w:t>
            </w:r>
            <w:r>
              <w:rPr>
                <w:rFonts w:hint="eastAsia" w:ascii="宋体" w:hAnsi="宋体" w:eastAsia="宋体" w:cs="宋体"/>
                <w:spacing w:val="6"/>
                <w:sz w:val="18"/>
                <w:szCs w:val="18"/>
              </w:rPr>
              <w:t>态</w:t>
            </w:r>
            <w:r>
              <w:rPr>
                <w:rFonts w:hint="eastAsia" w:ascii="宋体" w:hAnsi="宋体" w:eastAsia="宋体" w:cs="宋体"/>
                <w:spacing w:val="4"/>
                <w:sz w:val="18"/>
                <w:szCs w:val="18"/>
              </w:rPr>
              <w:t>维护公共开</w:t>
            </w:r>
            <w:r>
              <w:rPr>
                <w:rFonts w:hint="eastAsia" w:ascii="宋体" w:hAnsi="宋体" w:eastAsia="宋体" w:cs="宋体"/>
                <w:spacing w:val="-1"/>
                <w:sz w:val="18"/>
                <w:szCs w:val="18"/>
              </w:rPr>
              <w:t>放信息资源</w:t>
            </w:r>
            <w:r>
              <w:rPr>
                <w:rFonts w:hint="eastAsia" w:ascii="宋体" w:hAnsi="宋体" w:eastAsia="宋体" w:cs="宋体"/>
                <w:sz w:val="18"/>
                <w:szCs w:val="18"/>
              </w:rPr>
              <w:t>。</w:t>
            </w:r>
          </w:p>
        </w:tc>
        <w:tc>
          <w:tcPr>
            <w:tcW w:w="1133" w:type="dxa"/>
            <w:noWrap w:val="0"/>
            <w:vAlign w:val="top"/>
          </w:tcPr>
          <w:p>
            <w:pPr>
              <w:rPr>
                <w:rFonts w:hint="eastAsia"/>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开展政务数据目录规范性整治。按照国家、省工作最新标准，推动全县各有关部门开展政务数据目录更新和动态维护，全量梳理形成本行业、领域政务数据目录。</w:t>
            </w:r>
          </w:p>
          <w:p>
            <w:pPr>
              <w:jc w:val="both"/>
              <w:rPr>
                <w:rFonts w:hint="eastAsia" w:ascii="宋体" w:hAnsi="宋体" w:eastAsia="宋体" w:cs="宋体"/>
                <w:spacing w:val="4"/>
                <w:sz w:val="18"/>
                <w:szCs w:val="18"/>
              </w:rPr>
            </w:pPr>
          </w:p>
        </w:tc>
        <w:tc>
          <w:tcPr>
            <w:tcW w:w="934" w:type="dxa"/>
            <w:noWrap w:val="0"/>
            <w:vAlign w:val="top"/>
          </w:tcPr>
          <w:p>
            <w:pPr>
              <w:spacing w:before="58" w:line="234" w:lineRule="auto"/>
              <w:ind w:left="23" w:firstLine="69"/>
              <w:jc w:val="center"/>
              <w:rPr>
                <w:rFonts w:hint="eastAsia" w:ascii="宋体" w:hAnsi="宋体" w:eastAsia="宋体" w:cs="宋体"/>
                <w:spacing w:val="-3"/>
                <w:sz w:val="18"/>
                <w:szCs w:val="18"/>
                <w:lang w:val="en-US" w:eastAsia="zh-CN"/>
              </w:rPr>
            </w:pPr>
          </w:p>
          <w:p>
            <w:pPr>
              <w:spacing w:before="58" w:line="234" w:lineRule="auto"/>
              <w:ind w:left="23" w:firstLine="69"/>
              <w:jc w:val="center"/>
              <w:rPr>
                <w:rFonts w:hint="eastAsia" w:ascii="宋体" w:hAnsi="宋体" w:eastAsia="宋体" w:cs="宋体"/>
                <w:spacing w:val="-3"/>
                <w:sz w:val="18"/>
                <w:szCs w:val="18"/>
                <w:lang w:val="en-US" w:eastAsia="zh-CN"/>
              </w:rPr>
            </w:pPr>
          </w:p>
          <w:p>
            <w:pPr>
              <w:spacing w:before="58" w:line="234" w:lineRule="auto"/>
              <w:ind w:left="23" w:firstLine="69"/>
              <w:jc w:val="center"/>
              <w:rPr>
                <w:rFonts w:hint="eastAsia" w:ascii="宋体" w:hAnsi="宋体" w:eastAsia="宋体" w:cs="宋体"/>
                <w:spacing w:val="-3"/>
                <w:sz w:val="18"/>
                <w:szCs w:val="18"/>
                <w:lang w:val="en-US" w:eastAsia="zh-CN"/>
              </w:rPr>
            </w:pPr>
          </w:p>
          <w:p>
            <w:pPr>
              <w:spacing w:before="58" w:line="234" w:lineRule="auto"/>
              <w:ind w:left="23" w:firstLine="69"/>
              <w:jc w:val="center"/>
              <w:rPr>
                <w:rFonts w:hint="eastAsia" w:ascii="宋体" w:hAnsi="宋体" w:eastAsia="宋体" w:cs="宋体"/>
                <w:spacing w:val="-3"/>
                <w:sz w:val="18"/>
                <w:szCs w:val="18"/>
                <w:lang w:val="en-US" w:eastAsia="zh-CN"/>
              </w:rPr>
            </w:pPr>
          </w:p>
          <w:p>
            <w:pPr>
              <w:spacing w:before="58" w:line="234" w:lineRule="auto"/>
              <w:ind w:left="23" w:firstLine="69"/>
              <w:jc w:val="center"/>
              <w:rPr>
                <w:rFonts w:hint="eastAsia" w:ascii="宋体" w:hAnsi="宋体" w:eastAsia="宋体" w:cs="宋体"/>
                <w:sz w:val="18"/>
                <w:szCs w:val="18"/>
              </w:rPr>
            </w:pPr>
            <w:r>
              <w:rPr>
                <w:rFonts w:hint="eastAsia" w:ascii="宋体" w:hAnsi="宋体" w:eastAsia="宋体" w:cs="宋体"/>
                <w:spacing w:val="-3"/>
                <w:sz w:val="18"/>
                <w:szCs w:val="18"/>
                <w:lang w:val="en-US" w:eastAsia="zh-CN"/>
              </w:rPr>
              <w:t>县</w:t>
            </w:r>
            <w:r>
              <w:rPr>
                <w:rFonts w:hint="eastAsia" w:ascii="宋体" w:hAnsi="宋体" w:eastAsia="宋体" w:cs="宋体"/>
                <w:spacing w:val="-3"/>
                <w:sz w:val="18"/>
                <w:szCs w:val="18"/>
              </w:rPr>
              <w:t>政数</w:t>
            </w:r>
            <w:r>
              <w:rPr>
                <w:rFonts w:hint="eastAsia" w:ascii="宋体" w:hAnsi="宋体" w:eastAsia="宋体" w:cs="宋体"/>
                <w:spacing w:val="-13"/>
                <w:sz w:val="18"/>
                <w:szCs w:val="18"/>
              </w:rPr>
              <w:t>局</w:t>
            </w:r>
            <w:r>
              <w:rPr>
                <w:rFonts w:hint="eastAsia" w:ascii="宋体" w:hAnsi="宋体" w:eastAsia="宋体" w:cs="宋体"/>
                <w:spacing w:val="-12"/>
                <w:sz w:val="18"/>
                <w:szCs w:val="18"/>
              </w:rPr>
              <w:t>牵头，</w:t>
            </w:r>
            <w:r>
              <w:rPr>
                <w:rFonts w:hint="eastAsia" w:ascii="宋体" w:hAnsi="宋体" w:eastAsia="宋体" w:cs="宋体"/>
                <w:spacing w:val="-2"/>
                <w:sz w:val="18"/>
                <w:szCs w:val="18"/>
              </w:rPr>
              <w:t>各有</w:t>
            </w:r>
            <w:r>
              <w:rPr>
                <w:rFonts w:hint="eastAsia" w:ascii="宋体" w:hAnsi="宋体" w:eastAsia="宋体" w:cs="宋体"/>
                <w:spacing w:val="-1"/>
                <w:sz w:val="18"/>
                <w:szCs w:val="18"/>
              </w:rPr>
              <w:t>关</w:t>
            </w:r>
          </w:p>
          <w:p>
            <w:pPr>
              <w:spacing w:before="13" w:line="222" w:lineRule="auto"/>
              <w:ind w:left="34"/>
              <w:jc w:val="center"/>
              <w:rPr>
                <w:rFonts w:hint="eastAsia" w:ascii="宋体" w:hAnsi="宋体" w:eastAsia="宋体" w:cs="宋体"/>
                <w:sz w:val="18"/>
                <w:szCs w:val="18"/>
              </w:rPr>
            </w:pPr>
            <w:r>
              <w:rPr>
                <w:rFonts w:hint="eastAsia" w:ascii="宋体" w:hAnsi="宋体" w:eastAsia="宋体" w:cs="宋体"/>
                <w:spacing w:val="-2"/>
                <w:sz w:val="18"/>
                <w:szCs w:val="18"/>
              </w:rPr>
              <w:t>部门</w:t>
            </w:r>
            <w:r>
              <w:rPr>
                <w:rFonts w:hint="eastAsia" w:ascii="宋体" w:hAnsi="宋体" w:eastAsia="宋体" w:cs="宋体"/>
                <w:spacing w:val="-1"/>
                <w:sz w:val="18"/>
                <w:szCs w:val="18"/>
              </w:rPr>
              <w:t>及</w:t>
            </w:r>
            <w:r>
              <w:rPr>
                <w:rFonts w:hint="eastAsia" w:ascii="宋体" w:hAnsi="宋体" w:eastAsia="宋体" w:cs="宋体"/>
                <w:spacing w:val="-3"/>
                <w:sz w:val="18"/>
                <w:szCs w:val="18"/>
              </w:rPr>
              <w:t>各</w:t>
            </w:r>
            <w:r>
              <w:rPr>
                <w:rFonts w:hint="eastAsia" w:ascii="宋体" w:hAnsi="宋体" w:eastAsia="宋体" w:cs="宋体"/>
                <w:spacing w:val="-2"/>
                <w:sz w:val="18"/>
                <w:szCs w:val="18"/>
                <w:lang w:eastAsia="zh-CN"/>
              </w:rPr>
              <w:t>乡镇</w:t>
            </w:r>
            <w:r>
              <w:rPr>
                <w:rFonts w:hint="eastAsia" w:ascii="宋体" w:hAnsi="宋体" w:eastAsia="宋体" w:cs="宋体"/>
                <w:spacing w:val="-12"/>
                <w:sz w:val="18"/>
                <w:szCs w:val="18"/>
              </w:rPr>
              <w:t>政府</w:t>
            </w:r>
            <w:r>
              <w:rPr>
                <w:rFonts w:hint="eastAsia" w:ascii="宋体" w:hAnsi="宋体" w:eastAsia="宋体" w:cs="宋体"/>
                <w:spacing w:val="-2"/>
                <w:sz w:val="18"/>
                <w:szCs w:val="18"/>
              </w:rPr>
              <w:t>按职</w:t>
            </w:r>
            <w:r>
              <w:rPr>
                <w:rFonts w:hint="eastAsia" w:ascii="宋体" w:hAnsi="宋体" w:eastAsia="宋体" w:cs="宋体"/>
                <w:spacing w:val="-1"/>
                <w:sz w:val="18"/>
                <w:szCs w:val="18"/>
              </w:rPr>
              <w:t>责</w:t>
            </w:r>
            <w:r>
              <w:rPr>
                <w:rFonts w:hint="eastAsia" w:ascii="宋体" w:hAnsi="宋体" w:eastAsia="宋体" w:cs="宋体"/>
                <w:spacing w:val="-2"/>
                <w:sz w:val="18"/>
                <w:szCs w:val="18"/>
              </w:rPr>
              <w:t>分工</w:t>
            </w:r>
            <w:r>
              <w:rPr>
                <w:rFonts w:hint="eastAsia" w:ascii="宋体" w:hAnsi="宋体" w:eastAsia="宋体" w:cs="宋体"/>
                <w:spacing w:val="-1"/>
                <w:sz w:val="18"/>
                <w:szCs w:val="18"/>
              </w:rPr>
              <w:t>负</w:t>
            </w:r>
          </w:p>
          <w:p>
            <w:pPr>
              <w:jc w:val="center"/>
              <w:rPr>
                <w:rFonts w:hint="eastAsia" w:ascii="宋体" w:hAnsi="宋体" w:eastAsia="宋体" w:cs="宋体"/>
                <w:sz w:val="18"/>
                <w:szCs w:val="18"/>
              </w:rPr>
            </w:pPr>
            <w:r>
              <w:rPr>
                <w:rFonts w:hint="eastAsia" w:ascii="宋体" w:hAnsi="宋体" w:eastAsia="宋体" w:cs="宋体"/>
                <w:sz w:val="18"/>
                <w:szCs w:val="18"/>
              </w:rPr>
              <w:t>责</w:t>
            </w:r>
          </w:p>
        </w:tc>
        <w:tc>
          <w:tcPr>
            <w:tcW w:w="940"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谢洪金</w:t>
            </w:r>
          </w:p>
        </w:tc>
        <w:tc>
          <w:tcPr>
            <w:tcW w:w="1142" w:type="dxa"/>
            <w:gridSpan w:val="2"/>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数据共享</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管理应用科</w:t>
            </w:r>
          </w:p>
          <w:p>
            <w:pPr>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赵勇15943967171</w:t>
            </w:r>
          </w:p>
          <w:p>
            <w:pPr>
              <w:jc w:val="center"/>
              <w:rPr>
                <w:rFonts w:hint="eastAsia" w:ascii="宋体" w:hAnsi="宋体" w:eastAsia="宋体" w:cs="宋体"/>
                <w:sz w:val="18"/>
                <w:szCs w:val="18"/>
              </w:rPr>
            </w:pPr>
          </w:p>
        </w:tc>
      </w:tr>
    </w:tbl>
    <w:p>
      <w:pPr>
        <w:rPr>
          <w:rFonts w:hint="eastAsia" w:ascii="宋体" w:hAnsi="宋体" w:eastAsia="宋体" w:cs="宋体"/>
        </w:rPr>
        <w:sectPr>
          <w:pgSz w:w="16838" w:h="11906" w:orient="landscape"/>
          <w:pgMar w:top="839" w:right="1304" w:bottom="1661" w:left="1287" w:header="851" w:footer="992" w:gutter="0"/>
          <w:pgNumType w:fmt="decimal"/>
          <w:cols w:space="720" w:num="1"/>
          <w:rtlGutter w:val="0"/>
          <w:docGrid w:type="lines" w:linePitch="312" w:charSpace="0"/>
        </w:sectPr>
      </w:pPr>
    </w:p>
    <w:p>
      <w:pPr>
        <w:rPr>
          <w:rFonts w:hint="eastAsia" w:ascii="宋体" w:hAnsi="宋体" w:eastAsia="宋体" w:cs="宋体"/>
        </w:rPr>
      </w:pPr>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683"/>
        <w:gridCol w:w="617"/>
        <w:gridCol w:w="2683"/>
        <w:gridCol w:w="684"/>
        <w:gridCol w:w="2200"/>
        <w:gridCol w:w="1116"/>
        <w:gridCol w:w="1217"/>
        <w:gridCol w:w="1100"/>
        <w:gridCol w:w="1133"/>
        <w:gridCol w:w="934"/>
        <w:gridCol w:w="972"/>
        <w:gridCol w:w="1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3"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16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17"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68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684"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4"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2"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10"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3"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683" w:type="dxa"/>
            <w:vMerge w:val="continue"/>
            <w:tcBorders>
              <w:top w:val="nil"/>
            </w:tcBorders>
            <w:noWrap w:val="0"/>
            <w:vAlign w:val="top"/>
          </w:tcPr>
          <w:p>
            <w:pPr>
              <w:rPr>
                <w:rFonts w:hint="eastAsia" w:ascii="宋体" w:hAnsi="宋体" w:eastAsia="宋体" w:cs="宋体"/>
                <w:sz w:val="18"/>
                <w:szCs w:val="18"/>
                <w:lang w:eastAsia="zh-CN"/>
              </w:rPr>
            </w:pPr>
          </w:p>
        </w:tc>
        <w:tc>
          <w:tcPr>
            <w:tcW w:w="617" w:type="dxa"/>
            <w:vMerge w:val="continue"/>
            <w:tcBorders>
              <w:top w:val="nil"/>
            </w:tcBorders>
            <w:noWrap w:val="0"/>
            <w:vAlign w:val="top"/>
          </w:tcPr>
          <w:p>
            <w:pPr>
              <w:rPr>
                <w:rFonts w:hint="eastAsia" w:ascii="宋体" w:hAnsi="宋体" w:eastAsia="宋体" w:cs="宋体"/>
                <w:sz w:val="18"/>
                <w:szCs w:val="18"/>
              </w:rPr>
            </w:pPr>
          </w:p>
        </w:tc>
        <w:tc>
          <w:tcPr>
            <w:tcW w:w="2683" w:type="dxa"/>
            <w:vMerge w:val="continue"/>
            <w:tcBorders>
              <w:top w:val="nil"/>
            </w:tcBorders>
            <w:noWrap w:val="0"/>
            <w:vAlign w:val="top"/>
          </w:tcPr>
          <w:p>
            <w:pPr>
              <w:rPr>
                <w:rFonts w:hint="eastAsia" w:ascii="宋体" w:hAnsi="宋体" w:eastAsia="宋体" w:cs="宋体"/>
                <w:sz w:val="18"/>
                <w:szCs w:val="18"/>
              </w:rPr>
            </w:pPr>
          </w:p>
        </w:tc>
        <w:tc>
          <w:tcPr>
            <w:tcW w:w="684"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217"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33"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4" w:type="dxa"/>
            <w:vMerge w:val="continue"/>
            <w:tcBorders>
              <w:top w:val="nil"/>
            </w:tcBorders>
            <w:noWrap w:val="0"/>
            <w:vAlign w:val="top"/>
          </w:tcPr>
          <w:p>
            <w:pPr>
              <w:rPr>
                <w:rFonts w:hint="eastAsia" w:ascii="宋体" w:hAnsi="宋体" w:eastAsia="宋体" w:cs="宋体"/>
                <w:sz w:val="18"/>
                <w:szCs w:val="18"/>
              </w:rPr>
            </w:pPr>
          </w:p>
        </w:tc>
        <w:tc>
          <w:tcPr>
            <w:tcW w:w="972" w:type="dxa"/>
            <w:vMerge w:val="continue"/>
            <w:noWrap w:val="0"/>
            <w:vAlign w:val="top"/>
          </w:tcPr>
          <w:p>
            <w:pPr>
              <w:rPr>
                <w:rFonts w:hint="eastAsia" w:ascii="宋体" w:hAnsi="宋体" w:eastAsia="宋体" w:cs="宋体"/>
                <w:sz w:val="18"/>
                <w:szCs w:val="18"/>
              </w:rPr>
            </w:pPr>
          </w:p>
        </w:tc>
        <w:tc>
          <w:tcPr>
            <w:tcW w:w="1110"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0" w:hRule="atLeast"/>
        </w:trPr>
        <w:tc>
          <w:tcPr>
            <w:tcW w:w="383"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68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推动电子证照、电子印章应 用。加快推进各类证照电子化及证照存量数据标准化， 推动电子证照归集和共享应用，进一步方便企业和群众办事。持续推进电子印章在政务服务业务场景中便捷应用。</w:t>
            </w:r>
          </w:p>
        </w:tc>
        <w:tc>
          <w:tcPr>
            <w:tcW w:w="61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省政数 局负责</w:t>
            </w:r>
          </w:p>
        </w:tc>
        <w:tc>
          <w:tcPr>
            <w:tcW w:w="2683" w:type="dxa"/>
            <w:noWrap w:val="0"/>
            <w:vAlign w:val="top"/>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①发布《白山市数据开放应用工作 方案》，推进各类证照电子化及证 照存量数据标准化，按照省级工作 部署巩固提升证照汇聚类型、证照 汇聚数量、符合相关指标的加盖电 子印章或数字签名电子证照类型等工作成果。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②组织部门开展电子印章模板收集工作，做好协调衔接，实现电子印章线下业务及档案管理规范化、标准化、模板化，持续推动电子印章场景应用。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③应用“首席数据官”制度，以专 函形式推广省级新修订的《大数据 发展应用条例》《电子证照管理办法》《电子印章管理办法》，提升 白山市各级“首席数据官”“数据专员”工作规范化能力。</w:t>
            </w:r>
          </w:p>
        </w:tc>
        <w:tc>
          <w:tcPr>
            <w:tcW w:w="684" w:type="dxa"/>
            <w:noWrap w:val="0"/>
            <w:vAlign w:val="top"/>
          </w:tcPr>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r>
              <w:rPr>
                <w:rFonts w:hint="eastAsia" w:ascii="宋体" w:hAnsi="宋体" w:eastAsia="宋体" w:cs="宋体"/>
                <w:spacing w:val="-5"/>
                <w:sz w:val="18"/>
                <w:szCs w:val="18"/>
              </w:rPr>
              <w:t>市政数</w:t>
            </w:r>
          </w:p>
          <w:p>
            <w:pPr>
              <w:rPr>
                <w:rFonts w:hint="eastAsia" w:ascii="宋体" w:hAnsi="宋体" w:eastAsia="宋体" w:cs="宋体"/>
                <w:spacing w:val="-5"/>
                <w:sz w:val="18"/>
                <w:szCs w:val="18"/>
                <w:lang w:val="en-US" w:eastAsia="zh-CN"/>
              </w:rPr>
            </w:pPr>
            <w:r>
              <w:rPr>
                <w:rFonts w:hint="eastAsia" w:ascii="宋体" w:hAnsi="宋体" w:eastAsia="宋体" w:cs="宋体"/>
                <w:spacing w:val="-5"/>
                <w:sz w:val="18"/>
                <w:szCs w:val="18"/>
              </w:rPr>
              <w:t>局负责</w:t>
            </w:r>
          </w:p>
        </w:tc>
        <w:tc>
          <w:tcPr>
            <w:tcW w:w="2200"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①按照上级工作部署，推进各类证照电子化及证照存量数据标准化，巩固提升证照汇聚类型、证照汇聚数量、符合相关指标的加盖电子印章或数字签名电子证照类型等工作成果。              ②组织部门开展电子印章模板收集工作，按照上级工作部署推动电子印章场景应用。    </w:t>
            </w:r>
          </w:p>
          <w:p>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③推进“首席数据官”制度工作。</w:t>
            </w:r>
          </w:p>
        </w:tc>
        <w:tc>
          <w:tcPr>
            <w:tcW w:w="1116" w:type="dxa"/>
            <w:noWrap w:val="0"/>
            <w:vAlign w:val="top"/>
          </w:tcPr>
          <w:p>
            <w:pPr>
              <w:rPr>
                <w:rFonts w:hint="eastAsia" w:ascii="宋体" w:hAnsi="宋体" w:eastAsia="宋体" w:cs="宋体"/>
                <w:spacing w:val="23"/>
                <w:sz w:val="16"/>
                <w:szCs w:val="16"/>
              </w:rPr>
            </w:pPr>
          </w:p>
          <w:p>
            <w:pPr>
              <w:rPr>
                <w:rFonts w:hint="eastAsia" w:ascii="宋体" w:hAnsi="宋体" w:eastAsia="宋体" w:cs="宋体"/>
                <w:spacing w:val="23"/>
                <w:sz w:val="16"/>
                <w:szCs w:val="16"/>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开展电子印章综合治理。推动我县电子印章共建共 用，组织全县开展电子印章建 模报备工作，力争实现备案率达100%。</w:t>
            </w:r>
          </w:p>
        </w:tc>
        <w:tc>
          <w:tcPr>
            <w:tcW w:w="1217" w:type="dxa"/>
            <w:noWrap w:val="0"/>
            <w:vAlign w:val="top"/>
          </w:tcPr>
          <w:p>
            <w:pPr>
              <w:rPr>
                <w:rFonts w:hint="eastAsia" w:ascii="宋体" w:hAnsi="宋体" w:eastAsia="宋体" w:cs="宋体"/>
                <w:spacing w:val="2"/>
                <w:sz w:val="18"/>
                <w:szCs w:val="18"/>
              </w:rPr>
            </w:pPr>
          </w:p>
          <w:p>
            <w:pPr>
              <w:rPr>
                <w:rFonts w:hint="eastAsia" w:ascii="宋体" w:hAnsi="宋体" w:eastAsia="宋体" w:cs="宋体"/>
                <w:sz w:val="18"/>
                <w:szCs w:val="18"/>
              </w:rPr>
            </w:pPr>
            <w:r>
              <w:rPr>
                <w:rFonts w:hint="eastAsia" w:ascii="宋体" w:hAnsi="宋体" w:eastAsia="宋体" w:cs="宋体"/>
                <w:spacing w:val="2"/>
                <w:sz w:val="18"/>
                <w:szCs w:val="18"/>
              </w:rPr>
              <w:t>开展电子证照</w:t>
            </w:r>
            <w:r>
              <w:rPr>
                <w:rFonts w:hint="eastAsia" w:ascii="宋体" w:hAnsi="宋体" w:eastAsia="宋体" w:cs="宋体"/>
                <w:sz w:val="18"/>
                <w:szCs w:val="18"/>
              </w:rPr>
              <w:t>集</w:t>
            </w:r>
            <w:r>
              <w:rPr>
                <w:rFonts w:hint="eastAsia" w:ascii="宋体" w:hAnsi="宋体" w:eastAsia="宋体" w:cs="宋体"/>
                <w:spacing w:val="2"/>
                <w:sz w:val="18"/>
                <w:szCs w:val="18"/>
              </w:rPr>
              <w:t>中整治。根据省级确定的电子证照基数清单，推动</w:t>
            </w:r>
            <w:r>
              <w:rPr>
                <w:rFonts w:hint="eastAsia" w:ascii="宋体" w:hAnsi="宋体" w:eastAsia="宋体" w:cs="宋体"/>
                <w:spacing w:val="2"/>
                <w:sz w:val="18"/>
                <w:szCs w:val="18"/>
                <w:lang w:eastAsia="zh-CN"/>
              </w:rPr>
              <w:t>全县各有关</w:t>
            </w:r>
            <w:r>
              <w:rPr>
                <w:rFonts w:hint="eastAsia" w:ascii="宋体" w:hAnsi="宋体" w:eastAsia="宋体" w:cs="宋体"/>
                <w:spacing w:val="2"/>
                <w:sz w:val="18"/>
                <w:szCs w:val="18"/>
              </w:rPr>
              <w:t>部门再开展一次证照资</w:t>
            </w:r>
            <w:r>
              <w:rPr>
                <w:rFonts w:hint="eastAsia" w:ascii="宋体" w:hAnsi="宋体" w:eastAsia="宋体" w:cs="宋体"/>
                <w:sz w:val="18"/>
                <w:szCs w:val="18"/>
              </w:rPr>
              <w:t xml:space="preserve"> </w:t>
            </w:r>
            <w:r>
              <w:rPr>
                <w:rFonts w:hint="eastAsia" w:ascii="宋体" w:hAnsi="宋体" w:eastAsia="宋体" w:cs="宋体"/>
                <w:spacing w:val="2"/>
                <w:sz w:val="18"/>
                <w:szCs w:val="18"/>
              </w:rPr>
              <w:t>源大排查，对梳</w:t>
            </w:r>
            <w:r>
              <w:rPr>
                <w:rFonts w:hint="eastAsia" w:ascii="宋体" w:hAnsi="宋体" w:eastAsia="宋体" w:cs="宋体"/>
                <w:sz w:val="18"/>
                <w:szCs w:val="18"/>
              </w:rPr>
              <w:t xml:space="preserve"> </w:t>
            </w:r>
            <w:r>
              <w:rPr>
                <w:rFonts w:hint="eastAsia" w:ascii="宋体" w:hAnsi="宋体" w:eastAsia="宋体" w:cs="宋体"/>
                <w:spacing w:val="-11"/>
                <w:sz w:val="18"/>
                <w:szCs w:val="18"/>
              </w:rPr>
              <w:t>理</w:t>
            </w:r>
            <w:r>
              <w:rPr>
                <w:rFonts w:hint="eastAsia" w:ascii="宋体" w:hAnsi="宋体" w:eastAsia="宋体" w:cs="宋体"/>
                <w:spacing w:val="-26"/>
                <w:sz w:val="18"/>
                <w:szCs w:val="18"/>
              </w:rPr>
              <w:t xml:space="preserve"> </w:t>
            </w:r>
            <w:r>
              <w:rPr>
                <w:rFonts w:hint="eastAsia" w:ascii="宋体" w:hAnsi="宋体" w:eastAsia="宋体" w:cs="宋体"/>
                <w:spacing w:val="-11"/>
                <w:sz w:val="18"/>
                <w:szCs w:val="18"/>
              </w:rPr>
              <w:t>出</w:t>
            </w:r>
            <w:r>
              <w:rPr>
                <w:rFonts w:hint="eastAsia" w:ascii="宋体" w:hAnsi="宋体" w:eastAsia="宋体" w:cs="宋体"/>
                <w:spacing w:val="-30"/>
                <w:sz w:val="18"/>
                <w:szCs w:val="18"/>
              </w:rPr>
              <w:t xml:space="preserve"> </w:t>
            </w:r>
            <w:r>
              <w:rPr>
                <w:rFonts w:hint="eastAsia" w:ascii="宋体" w:hAnsi="宋体" w:eastAsia="宋体" w:cs="宋体"/>
                <w:spacing w:val="-11"/>
                <w:sz w:val="18"/>
                <w:szCs w:val="18"/>
              </w:rPr>
              <w:t>的</w:t>
            </w:r>
            <w:r>
              <w:rPr>
                <w:rFonts w:hint="eastAsia" w:ascii="宋体" w:hAnsi="宋体" w:eastAsia="宋体" w:cs="宋体"/>
                <w:spacing w:val="-43"/>
                <w:sz w:val="18"/>
                <w:szCs w:val="18"/>
              </w:rPr>
              <w:t xml:space="preserve"> </w:t>
            </w:r>
            <w:r>
              <w:rPr>
                <w:rFonts w:hint="eastAsia" w:ascii="宋体" w:hAnsi="宋体" w:eastAsia="宋体" w:cs="宋体"/>
                <w:spacing w:val="-11"/>
                <w:sz w:val="18"/>
                <w:szCs w:val="18"/>
              </w:rPr>
              <w:t>制</w:t>
            </w:r>
            <w:r>
              <w:rPr>
                <w:rFonts w:hint="eastAsia" w:ascii="宋体" w:hAnsi="宋体" w:eastAsia="宋体" w:cs="宋体"/>
                <w:spacing w:val="-42"/>
                <w:sz w:val="18"/>
                <w:szCs w:val="18"/>
              </w:rPr>
              <w:t xml:space="preserve"> </w:t>
            </w:r>
            <w:r>
              <w:rPr>
                <w:rFonts w:hint="eastAsia" w:ascii="宋体" w:hAnsi="宋体" w:eastAsia="宋体" w:cs="宋体"/>
                <w:spacing w:val="-11"/>
                <w:sz w:val="18"/>
                <w:szCs w:val="18"/>
              </w:rPr>
              <w:t>发</w:t>
            </w:r>
            <w:r>
              <w:rPr>
                <w:rFonts w:hint="eastAsia" w:ascii="宋体" w:hAnsi="宋体" w:eastAsia="宋体" w:cs="宋体"/>
                <w:spacing w:val="-49"/>
                <w:sz w:val="18"/>
                <w:szCs w:val="18"/>
              </w:rPr>
              <w:t xml:space="preserve"> </w:t>
            </w:r>
            <w:r>
              <w:rPr>
                <w:rFonts w:hint="eastAsia" w:ascii="宋体" w:hAnsi="宋体" w:eastAsia="宋体" w:cs="宋体"/>
                <w:spacing w:val="-11"/>
                <w:sz w:val="18"/>
                <w:szCs w:val="18"/>
              </w:rPr>
              <w:t>证</w:t>
            </w:r>
            <w:r>
              <w:rPr>
                <w:rFonts w:hint="eastAsia" w:ascii="宋体" w:hAnsi="宋体" w:eastAsia="宋体" w:cs="宋体"/>
                <w:sz w:val="18"/>
                <w:szCs w:val="18"/>
              </w:rPr>
              <w:t xml:space="preserve"> </w:t>
            </w:r>
            <w:r>
              <w:rPr>
                <w:rFonts w:hint="eastAsia" w:ascii="宋体" w:hAnsi="宋体" w:eastAsia="宋体" w:cs="宋体"/>
                <w:spacing w:val="2"/>
                <w:sz w:val="18"/>
                <w:szCs w:val="18"/>
              </w:rPr>
              <w:t>照，完成存量数</w:t>
            </w:r>
            <w:r>
              <w:rPr>
                <w:rFonts w:hint="eastAsia" w:ascii="宋体" w:hAnsi="宋体" w:eastAsia="宋体" w:cs="宋体"/>
                <w:sz w:val="18"/>
                <w:szCs w:val="18"/>
              </w:rPr>
              <w:t xml:space="preserve"> </w:t>
            </w:r>
            <w:r>
              <w:rPr>
                <w:rFonts w:hint="eastAsia" w:ascii="宋体" w:hAnsi="宋体" w:eastAsia="宋体" w:cs="宋体"/>
                <w:spacing w:val="2"/>
                <w:sz w:val="18"/>
                <w:szCs w:val="18"/>
              </w:rPr>
              <w:t>据汇聚，为全省</w:t>
            </w:r>
            <w:r>
              <w:rPr>
                <w:rFonts w:hint="eastAsia" w:ascii="宋体" w:hAnsi="宋体" w:eastAsia="宋体" w:cs="宋体"/>
                <w:sz w:val="18"/>
                <w:szCs w:val="18"/>
              </w:rPr>
              <w:t xml:space="preserve"> </w:t>
            </w:r>
            <w:r>
              <w:rPr>
                <w:rFonts w:hint="eastAsia" w:ascii="宋体" w:hAnsi="宋体" w:eastAsia="宋体" w:cs="宋体"/>
                <w:spacing w:val="2"/>
                <w:sz w:val="18"/>
                <w:szCs w:val="18"/>
              </w:rPr>
              <w:t>政务服务事项梳理调用电子证照</w:t>
            </w:r>
            <w:r>
              <w:rPr>
                <w:rFonts w:hint="eastAsia" w:ascii="宋体" w:hAnsi="宋体" w:eastAsia="宋体" w:cs="宋体"/>
                <w:spacing w:val="-1"/>
                <w:sz w:val="18"/>
                <w:szCs w:val="18"/>
              </w:rPr>
              <w:t>工作奠</w:t>
            </w:r>
            <w:r>
              <w:rPr>
                <w:rFonts w:hint="eastAsia" w:ascii="宋体" w:hAnsi="宋体" w:eastAsia="宋体" w:cs="宋体"/>
                <w:sz w:val="18"/>
                <w:szCs w:val="18"/>
              </w:rPr>
              <w:t>定基础。</w:t>
            </w:r>
          </w:p>
        </w:tc>
        <w:tc>
          <w:tcPr>
            <w:tcW w:w="1100" w:type="dxa"/>
            <w:noWrap w:val="0"/>
            <w:vAlign w:val="top"/>
          </w:tcPr>
          <w:p>
            <w:pPr>
              <w:rPr>
                <w:rFonts w:hint="eastAsia" w:ascii="宋体" w:hAnsi="宋体" w:eastAsia="宋体" w:cs="宋体"/>
                <w:spacing w:val="4"/>
                <w:sz w:val="18"/>
                <w:szCs w:val="18"/>
              </w:rPr>
            </w:pPr>
          </w:p>
          <w:p>
            <w:pPr>
              <w:rPr>
                <w:rFonts w:hint="eastAsia" w:ascii="宋体" w:hAnsi="宋体" w:eastAsia="宋体" w:cs="宋体"/>
                <w:sz w:val="18"/>
                <w:szCs w:val="18"/>
              </w:rPr>
            </w:pPr>
            <w:r>
              <w:rPr>
                <w:rFonts w:hint="eastAsia" w:ascii="宋体" w:hAnsi="宋体" w:eastAsia="宋体" w:cs="宋体"/>
                <w:spacing w:val="4"/>
                <w:sz w:val="18"/>
                <w:szCs w:val="18"/>
              </w:rPr>
              <w:t>开展电子证照</w:t>
            </w:r>
            <w:r>
              <w:rPr>
                <w:rFonts w:hint="eastAsia" w:ascii="宋体" w:hAnsi="宋体" w:eastAsia="宋体" w:cs="宋体"/>
                <w:spacing w:val="5"/>
                <w:sz w:val="18"/>
                <w:szCs w:val="18"/>
              </w:rPr>
              <w:t>水</w:t>
            </w:r>
            <w:r>
              <w:rPr>
                <w:rFonts w:hint="eastAsia" w:ascii="宋体" w:hAnsi="宋体" w:eastAsia="宋体" w:cs="宋体"/>
                <w:spacing w:val="4"/>
                <w:sz w:val="18"/>
                <w:szCs w:val="18"/>
              </w:rPr>
              <w:t>平再提升工</w:t>
            </w:r>
            <w:r>
              <w:rPr>
                <w:rFonts w:hint="eastAsia" w:ascii="宋体" w:hAnsi="宋体" w:eastAsia="宋体" w:cs="宋体"/>
                <w:spacing w:val="5"/>
                <w:sz w:val="18"/>
                <w:szCs w:val="18"/>
              </w:rPr>
              <w:t>作</w:t>
            </w:r>
            <w:r>
              <w:rPr>
                <w:rFonts w:hint="eastAsia" w:ascii="宋体" w:hAnsi="宋体" w:eastAsia="宋体" w:cs="宋体"/>
                <w:spacing w:val="4"/>
                <w:sz w:val="18"/>
                <w:szCs w:val="18"/>
              </w:rPr>
              <w:t>。根据省政</w:t>
            </w:r>
            <w:r>
              <w:rPr>
                <w:rFonts w:hint="eastAsia" w:ascii="宋体" w:hAnsi="宋体" w:eastAsia="宋体" w:cs="宋体"/>
                <w:spacing w:val="-19"/>
                <w:sz w:val="18"/>
                <w:szCs w:val="18"/>
              </w:rPr>
              <w:t>数</w:t>
            </w:r>
            <w:r>
              <w:rPr>
                <w:rFonts w:hint="eastAsia" w:ascii="宋体" w:hAnsi="宋体" w:eastAsia="宋体" w:cs="宋体"/>
                <w:spacing w:val="-17"/>
                <w:sz w:val="18"/>
                <w:szCs w:val="18"/>
              </w:rPr>
              <w:t xml:space="preserve"> 局 工 作 安</w:t>
            </w:r>
            <w:r>
              <w:rPr>
                <w:rFonts w:hint="eastAsia" w:ascii="宋体" w:hAnsi="宋体" w:eastAsia="宋体" w:cs="宋体"/>
                <w:sz w:val="18"/>
                <w:szCs w:val="18"/>
              </w:rPr>
              <w:t xml:space="preserve"> </w:t>
            </w:r>
            <w:r>
              <w:rPr>
                <w:rFonts w:hint="eastAsia" w:ascii="宋体" w:hAnsi="宋体" w:eastAsia="宋体" w:cs="宋体"/>
                <w:spacing w:val="5"/>
                <w:sz w:val="18"/>
                <w:szCs w:val="18"/>
              </w:rPr>
              <w:t>排</w:t>
            </w:r>
            <w:r>
              <w:rPr>
                <w:rFonts w:hint="eastAsia" w:ascii="宋体" w:hAnsi="宋体" w:eastAsia="宋体" w:cs="宋体"/>
                <w:spacing w:val="4"/>
                <w:sz w:val="18"/>
                <w:szCs w:val="18"/>
              </w:rPr>
              <w:t>，依据政务</w:t>
            </w:r>
            <w:r>
              <w:rPr>
                <w:rFonts w:hint="eastAsia" w:ascii="宋体" w:hAnsi="宋体" w:eastAsia="宋体" w:cs="宋体"/>
                <w:spacing w:val="5"/>
                <w:sz w:val="18"/>
                <w:szCs w:val="18"/>
              </w:rPr>
              <w:t>服</w:t>
            </w:r>
            <w:r>
              <w:rPr>
                <w:rFonts w:hint="eastAsia" w:ascii="宋体" w:hAnsi="宋体" w:eastAsia="宋体" w:cs="宋体"/>
                <w:spacing w:val="4"/>
                <w:sz w:val="18"/>
                <w:szCs w:val="18"/>
              </w:rPr>
              <w:t>务事项办件</w:t>
            </w:r>
            <w:r>
              <w:rPr>
                <w:rFonts w:hint="eastAsia" w:ascii="宋体" w:hAnsi="宋体" w:eastAsia="宋体" w:cs="宋体"/>
                <w:spacing w:val="5"/>
                <w:sz w:val="18"/>
                <w:szCs w:val="18"/>
              </w:rPr>
              <w:t>过</w:t>
            </w:r>
            <w:r>
              <w:rPr>
                <w:rFonts w:hint="eastAsia" w:ascii="宋体" w:hAnsi="宋体" w:eastAsia="宋体" w:cs="宋体"/>
                <w:spacing w:val="4"/>
                <w:sz w:val="18"/>
                <w:szCs w:val="18"/>
              </w:rPr>
              <w:t>程中所需材</w:t>
            </w:r>
            <w:r>
              <w:rPr>
                <w:rFonts w:hint="eastAsia" w:ascii="宋体" w:hAnsi="宋体" w:eastAsia="宋体" w:cs="宋体"/>
                <w:sz w:val="18"/>
                <w:szCs w:val="18"/>
              </w:rPr>
              <w:t xml:space="preserve"> </w:t>
            </w:r>
            <w:r>
              <w:rPr>
                <w:rFonts w:hint="eastAsia" w:ascii="宋体" w:hAnsi="宋体" w:eastAsia="宋体" w:cs="宋体"/>
                <w:spacing w:val="5"/>
                <w:sz w:val="18"/>
                <w:szCs w:val="18"/>
              </w:rPr>
              <w:t>料</w:t>
            </w:r>
            <w:r>
              <w:rPr>
                <w:rFonts w:hint="eastAsia" w:ascii="宋体" w:hAnsi="宋体" w:eastAsia="宋体" w:cs="宋体"/>
                <w:spacing w:val="4"/>
                <w:sz w:val="18"/>
                <w:szCs w:val="18"/>
              </w:rPr>
              <w:t>，再开展一</w:t>
            </w:r>
            <w:r>
              <w:rPr>
                <w:rFonts w:hint="eastAsia" w:ascii="宋体" w:hAnsi="宋体" w:eastAsia="宋体" w:cs="宋体"/>
                <w:sz w:val="18"/>
                <w:szCs w:val="18"/>
              </w:rPr>
              <w:t xml:space="preserve"> </w:t>
            </w:r>
            <w:r>
              <w:rPr>
                <w:rFonts w:hint="eastAsia" w:ascii="宋体" w:hAnsi="宋体" w:eastAsia="宋体" w:cs="宋体"/>
                <w:spacing w:val="5"/>
                <w:sz w:val="18"/>
                <w:szCs w:val="18"/>
              </w:rPr>
              <w:t>轮</w:t>
            </w:r>
            <w:r>
              <w:rPr>
                <w:rFonts w:hint="eastAsia" w:ascii="宋体" w:hAnsi="宋体" w:eastAsia="宋体" w:cs="宋体"/>
                <w:spacing w:val="4"/>
                <w:sz w:val="18"/>
                <w:szCs w:val="18"/>
              </w:rPr>
              <w:t>电子证照排</w:t>
            </w:r>
            <w:r>
              <w:rPr>
                <w:rFonts w:hint="eastAsia" w:ascii="宋体" w:hAnsi="宋体" w:eastAsia="宋体" w:cs="宋体"/>
                <w:spacing w:val="5"/>
                <w:sz w:val="18"/>
                <w:szCs w:val="18"/>
              </w:rPr>
              <w:t>查</w:t>
            </w:r>
            <w:r>
              <w:rPr>
                <w:rFonts w:hint="eastAsia" w:ascii="宋体" w:hAnsi="宋体" w:eastAsia="宋体" w:cs="宋体"/>
                <w:spacing w:val="4"/>
                <w:sz w:val="18"/>
                <w:szCs w:val="18"/>
              </w:rPr>
              <w:t>汇聚工作，</w:t>
            </w:r>
            <w:r>
              <w:rPr>
                <w:rFonts w:hint="eastAsia" w:ascii="宋体" w:hAnsi="宋体" w:eastAsia="宋体" w:cs="宋体"/>
                <w:sz w:val="18"/>
                <w:szCs w:val="18"/>
              </w:rPr>
              <w:t xml:space="preserve"> </w:t>
            </w:r>
            <w:r>
              <w:rPr>
                <w:rFonts w:hint="eastAsia" w:ascii="宋体" w:hAnsi="宋体" w:eastAsia="宋体" w:cs="宋体"/>
                <w:spacing w:val="5"/>
                <w:sz w:val="18"/>
                <w:szCs w:val="18"/>
              </w:rPr>
              <w:t>保</w:t>
            </w:r>
            <w:r>
              <w:rPr>
                <w:rFonts w:hint="eastAsia" w:ascii="宋体" w:hAnsi="宋体" w:eastAsia="宋体" w:cs="宋体"/>
                <w:spacing w:val="4"/>
                <w:sz w:val="18"/>
                <w:szCs w:val="18"/>
              </w:rPr>
              <w:t>障政务服务</w:t>
            </w:r>
            <w:r>
              <w:rPr>
                <w:rFonts w:hint="eastAsia" w:ascii="宋体" w:hAnsi="宋体" w:eastAsia="宋体" w:cs="宋体"/>
                <w:spacing w:val="5"/>
                <w:sz w:val="18"/>
                <w:szCs w:val="18"/>
              </w:rPr>
              <w:t>事</w:t>
            </w:r>
            <w:r>
              <w:rPr>
                <w:rFonts w:hint="eastAsia" w:ascii="宋体" w:hAnsi="宋体" w:eastAsia="宋体" w:cs="宋体"/>
                <w:spacing w:val="4"/>
                <w:sz w:val="18"/>
                <w:szCs w:val="18"/>
              </w:rPr>
              <w:t>项电子证照</w:t>
            </w:r>
            <w:r>
              <w:rPr>
                <w:rFonts w:hint="eastAsia" w:ascii="宋体" w:hAnsi="宋体" w:eastAsia="宋体" w:cs="宋体"/>
                <w:sz w:val="18"/>
                <w:szCs w:val="18"/>
              </w:rPr>
              <w:t xml:space="preserve"> </w:t>
            </w:r>
            <w:r>
              <w:rPr>
                <w:rFonts w:hint="eastAsia" w:ascii="宋体" w:hAnsi="宋体" w:eastAsia="宋体" w:cs="宋体"/>
                <w:spacing w:val="5"/>
                <w:sz w:val="18"/>
                <w:szCs w:val="18"/>
              </w:rPr>
              <w:t>应</w:t>
            </w:r>
            <w:r>
              <w:rPr>
                <w:rFonts w:hint="eastAsia" w:ascii="宋体" w:hAnsi="宋体" w:eastAsia="宋体" w:cs="宋体"/>
                <w:spacing w:val="4"/>
                <w:sz w:val="18"/>
                <w:szCs w:val="18"/>
              </w:rPr>
              <w:t>用工作有力</w:t>
            </w:r>
            <w:r>
              <w:rPr>
                <w:rFonts w:hint="eastAsia" w:ascii="宋体" w:hAnsi="宋体" w:eastAsia="宋体" w:cs="宋体"/>
                <w:sz w:val="18"/>
                <w:szCs w:val="18"/>
              </w:rPr>
              <w:t xml:space="preserve"> </w:t>
            </w:r>
            <w:r>
              <w:rPr>
                <w:rFonts w:hint="eastAsia" w:ascii="宋体" w:hAnsi="宋体" w:eastAsia="宋体" w:cs="宋体"/>
                <w:spacing w:val="-1"/>
                <w:sz w:val="18"/>
                <w:szCs w:val="18"/>
              </w:rPr>
              <w:t>开展。</w:t>
            </w:r>
          </w:p>
        </w:tc>
        <w:tc>
          <w:tcPr>
            <w:tcW w:w="1133" w:type="dxa"/>
            <w:noWrap w:val="0"/>
            <w:vAlign w:val="top"/>
          </w:tcPr>
          <w:p>
            <w:pPr>
              <w:rPr>
                <w:rFonts w:hint="eastAsia" w:ascii="宋体" w:hAnsi="宋体" w:eastAsia="宋体" w:cs="宋体"/>
                <w:spacing w:val="-2"/>
                <w:sz w:val="17"/>
                <w:szCs w:val="17"/>
              </w:rPr>
            </w:pPr>
          </w:p>
          <w:p>
            <w:pPr>
              <w:rPr>
                <w:rFonts w:hint="eastAsia" w:ascii="宋体" w:hAnsi="宋体" w:eastAsia="宋体" w:cs="宋体"/>
                <w:sz w:val="18"/>
                <w:szCs w:val="18"/>
              </w:rPr>
            </w:pPr>
            <w:r>
              <w:rPr>
                <w:rFonts w:hint="eastAsia" w:ascii="宋体" w:hAnsi="宋体" w:eastAsia="宋体" w:cs="宋体"/>
                <w:sz w:val="18"/>
                <w:szCs w:val="18"/>
                <w:lang w:val="en-US" w:eastAsia="zh-CN"/>
              </w:rPr>
              <w:t>按照上级工作部署，推广省级新修订的 《 大数据发展 应用条例》《电子 证 照 管 理 办法》《电子印章管理办法》等规章制度，提升部 门 “ 首席数据 官”数字素养。</w:t>
            </w:r>
          </w:p>
        </w:tc>
        <w:tc>
          <w:tcPr>
            <w:tcW w:w="934" w:type="dxa"/>
            <w:noWrap w:val="0"/>
            <w:vAlign w:val="top"/>
          </w:tcPr>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pacing w:val="-3"/>
                <w:sz w:val="18"/>
                <w:szCs w:val="18"/>
                <w:lang w:val="en-US" w:eastAsia="zh-CN"/>
              </w:rPr>
            </w:pPr>
          </w:p>
          <w:p>
            <w:pPr>
              <w:rPr>
                <w:rFonts w:hint="eastAsia" w:ascii="宋体" w:hAnsi="宋体" w:eastAsia="宋体" w:cs="宋体"/>
                <w:spacing w:val="-3"/>
                <w:sz w:val="18"/>
                <w:szCs w:val="18"/>
                <w:lang w:val="en-US" w:eastAsia="zh-CN"/>
              </w:rPr>
            </w:pPr>
          </w:p>
          <w:p>
            <w:pPr>
              <w:jc w:val="center"/>
              <w:rPr>
                <w:rFonts w:hint="eastAsia" w:ascii="宋体" w:hAnsi="宋体" w:eastAsia="宋体" w:cs="宋体"/>
                <w:spacing w:val="-3"/>
                <w:sz w:val="18"/>
                <w:szCs w:val="18"/>
                <w:lang w:val="en-US" w:eastAsia="zh-CN"/>
              </w:rPr>
            </w:pPr>
          </w:p>
          <w:p>
            <w:pPr>
              <w:rPr>
                <w:rFonts w:hint="eastAsia" w:ascii="宋体" w:hAnsi="宋体" w:eastAsia="宋体" w:cs="宋体"/>
                <w:spacing w:val="-3"/>
                <w:sz w:val="18"/>
                <w:szCs w:val="18"/>
                <w:lang w:val="en-US" w:eastAsia="zh-CN"/>
              </w:rPr>
            </w:pPr>
          </w:p>
          <w:p>
            <w:pPr>
              <w:rPr>
                <w:rFonts w:hint="eastAsia" w:ascii="宋体" w:hAnsi="宋体" w:eastAsia="宋体" w:cs="宋体"/>
                <w:spacing w:val="-3"/>
                <w:sz w:val="18"/>
                <w:szCs w:val="18"/>
                <w:lang w:val="en-US" w:eastAsia="zh-CN"/>
              </w:rPr>
            </w:pPr>
          </w:p>
          <w:p>
            <w:pPr>
              <w:rPr>
                <w:rFonts w:hint="eastAsia" w:ascii="宋体" w:hAnsi="宋体" w:eastAsia="宋体" w:cs="宋体"/>
                <w:spacing w:val="-3"/>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pacing w:val="-3"/>
                <w:sz w:val="18"/>
                <w:szCs w:val="18"/>
                <w:lang w:val="en-US" w:eastAsia="zh-CN"/>
              </w:rPr>
              <w:t>县</w:t>
            </w:r>
            <w:r>
              <w:rPr>
                <w:rFonts w:hint="eastAsia" w:ascii="宋体" w:hAnsi="宋体" w:eastAsia="宋体" w:cs="宋体"/>
                <w:spacing w:val="-3"/>
                <w:sz w:val="18"/>
                <w:szCs w:val="18"/>
              </w:rPr>
              <w:t>政数</w:t>
            </w:r>
            <w:r>
              <w:rPr>
                <w:rFonts w:hint="eastAsia" w:ascii="宋体" w:hAnsi="宋体" w:eastAsia="宋体" w:cs="宋体"/>
                <w:spacing w:val="-4"/>
                <w:sz w:val="18"/>
                <w:szCs w:val="18"/>
              </w:rPr>
              <w:t>局</w:t>
            </w:r>
          </w:p>
        </w:tc>
        <w:tc>
          <w:tcPr>
            <w:tcW w:w="972"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lang w:val="en-US" w:eastAsia="zh-CN"/>
              </w:rPr>
              <w:t>谢洪金</w:t>
            </w:r>
          </w:p>
        </w:tc>
        <w:tc>
          <w:tcPr>
            <w:tcW w:w="1110"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ind w:firstLine="180" w:firstLineChars="100"/>
              <w:jc w:val="center"/>
              <w:rPr>
                <w:rFonts w:hint="eastAsia" w:ascii="宋体" w:hAnsi="宋体" w:eastAsia="宋体" w:cs="宋体"/>
                <w:sz w:val="18"/>
                <w:szCs w:val="18"/>
                <w:lang w:val="en-US" w:eastAsia="zh-CN"/>
              </w:rPr>
            </w:pPr>
          </w:p>
          <w:p>
            <w:pPr>
              <w:ind w:firstLine="180" w:firstLineChars="100"/>
              <w:jc w:val="center"/>
              <w:rPr>
                <w:rFonts w:hint="eastAsia" w:ascii="宋体" w:hAnsi="宋体" w:eastAsia="宋体" w:cs="宋体"/>
                <w:sz w:val="18"/>
                <w:szCs w:val="18"/>
                <w:lang w:val="en-US" w:eastAsia="zh-CN"/>
              </w:rPr>
            </w:pPr>
          </w:p>
          <w:p>
            <w:pPr>
              <w:ind w:firstLine="180" w:firstLineChars="100"/>
              <w:jc w:val="center"/>
              <w:rPr>
                <w:rFonts w:hint="eastAsia" w:ascii="宋体" w:hAnsi="宋体" w:eastAsia="宋体" w:cs="宋体"/>
                <w:sz w:val="18"/>
                <w:szCs w:val="18"/>
                <w:lang w:val="en-US" w:eastAsia="zh-CN"/>
              </w:rPr>
            </w:pPr>
          </w:p>
          <w:p>
            <w:pPr>
              <w:ind w:firstLine="180" w:firstLineChars="100"/>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数据共享</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管理应用科</w:t>
            </w:r>
          </w:p>
          <w:p>
            <w:pPr>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赵勇15943967171</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683"/>
        <w:gridCol w:w="617"/>
        <w:gridCol w:w="2683"/>
        <w:gridCol w:w="684"/>
        <w:gridCol w:w="2200"/>
        <w:gridCol w:w="1116"/>
        <w:gridCol w:w="1217"/>
        <w:gridCol w:w="1100"/>
        <w:gridCol w:w="1133"/>
        <w:gridCol w:w="934"/>
        <w:gridCol w:w="972"/>
        <w:gridCol w:w="1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3"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16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17"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68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684"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34"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2"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10"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3"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683" w:type="dxa"/>
            <w:vMerge w:val="continue"/>
            <w:tcBorders>
              <w:top w:val="nil"/>
            </w:tcBorders>
            <w:noWrap w:val="0"/>
            <w:vAlign w:val="top"/>
          </w:tcPr>
          <w:p>
            <w:pPr>
              <w:rPr>
                <w:rFonts w:hint="eastAsia" w:ascii="宋体" w:hAnsi="宋体" w:eastAsia="宋体" w:cs="宋体"/>
                <w:sz w:val="18"/>
                <w:szCs w:val="18"/>
                <w:lang w:eastAsia="zh-CN"/>
              </w:rPr>
            </w:pPr>
          </w:p>
        </w:tc>
        <w:tc>
          <w:tcPr>
            <w:tcW w:w="617" w:type="dxa"/>
            <w:vMerge w:val="continue"/>
            <w:tcBorders>
              <w:top w:val="nil"/>
            </w:tcBorders>
            <w:noWrap w:val="0"/>
            <w:vAlign w:val="top"/>
          </w:tcPr>
          <w:p>
            <w:pPr>
              <w:rPr>
                <w:rFonts w:hint="eastAsia" w:ascii="宋体" w:hAnsi="宋体" w:eastAsia="宋体" w:cs="宋体"/>
                <w:sz w:val="18"/>
                <w:szCs w:val="18"/>
              </w:rPr>
            </w:pPr>
          </w:p>
        </w:tc>
        <w:tc>
          <w:tcPr>
            <w:tcW w:w="2683" w:type="dxa"/>
            <w:vMerge w:val="continue"/>
            <w:tcBorders>
              <w:top w:val="nil"/>
            </w:tcBorders>
            <w:noWrap w:val="0"/>
            <w:vAlign w:val="top"/>
          </w:tcPr>
          <w:p>
            <w:pPr>
              <w:rPr>
                <w:rFonts w:hint="eastAsia" w:ascii="宋体" w:hAnsi="宋体" w:eastAsia="宋体" w:cs="宋体"/>
                <w:sz w:val="18"/>
                <w:szCs w:val="18"/>
              </w:rPr>
            </w:pPr>
          </w:p>
        </w:tc>
        <w:tc>
          <w:tcPr>
            <w:tcW w:w="684"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217"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1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33"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34" w:type="dxa"/>
            <w:vMerge w:val="continue"/>
            <w:tcBorders>
              <w:top w:val="nil"/>
            </w:tcBorders>
            <w:noWrap w:val="0"/>
            <w:vAlign w:val="top"/>
          </w:tcPr>
          <w:p>
            <w:pPr>
              <w:rPr>
                <w:rFonts w:hint="eastAsia" w:ascii="宋体" w:hAnsi="宋体" w:eastAsia="宋体" w:cs="宋体"/>
                <w:sz w:val="18"/>
                <w:szCs w:val="18"/>
              </w:rPr>
            </w:pPr>
          </w:p>
        </w:tc>
        <w:tc>
          <w:tcPr>
            <w:tcW w:w="972" w:type="dxa"/>
            <w:vMerge w:val="continue"/>
            <w:noWrap w:val="0"/>
            <w:vAlign w:val="top"/>
          </w:tcPr>
          <w:p>
            <w:pPr>
              <w:rPr>
                <w:rFonts w:hint="eastAsia" w:ascii="宋体" w:hAnsi="宋体" w:eastAsia="宋体" w:cs="宋体"/>
                <w:sz w:val="18"/>
                <w:szCs w:val="18"/>
              </w:rPr>
            </w:pPr>
          </w:p>
        </w:tc>
        <w:tc>
          <w:tcPr>
            <w:tcW w:w="1110"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3" w:hRule="atLeast"/>
        </w:trPr>
        <w:tc>
          <w:tcPr>
            <w:tcW w:w="383"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68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推动电子证照、电子印章应用。深入推进电子营业执照跨区域、跨领域、跨层级广泛应用，实现市场主体身份 “一次验证、全网通办” 。通过电子营业执照关联企 业相关信息，实现涉企政务服务事项办理所需信息免填写、纸质材料免提交，企 业相关信息“最多报一次”。</w:t>
            </w:r>
          </w:p>
        </w:tc>
        <w:tc>
          <w:tcPr>
            <w:tcW w:w="61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省市场</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监管厅</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负责</w:t>
            </w:r>
          </w:p>
        </w:tc>
        <w:tc>
          <w:tcPr>
            <w:tcW w:w="268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①积极推广电子营业执照在政商领域应用，提升企业开办便利度。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②企业可以通过电脑、手机以及政 务大厅自助终端直接开办企业，实 现电子认证、电子签名、在线审核、 网上发照，实现企业开办“一次验 证、全网通办” 。                ③部门数据同步采集、业务同步办 理、结果实时共享，提升企业开办 效率和质量。</w:t>
            </w:r>
          </w:p>
        </w:tc>
        <w:tc>
          <w:tcPr>
            <w:tcW w:w="684" w:type="dxa"/>
            <w:noWrap w:val="0"/>
            <w:vAlign w:val="top"/>
          </w:tcPr>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p>
          <w:p>
            <w:pPr>
              <w:rPr>
                <w:rFonts w:hint="eastAsia" w:ascii="宋体" w:hAnsi="宋体" w:eastAsia="宋体" w:cs="宋体"/>
                <w:spacing w:val="-5"/>
                <w:sz w:val="18"/>
                <w:szCs w:val="18"/>
              </w:rPr>
            </w:pPr>
            <w:r>
              <w:rPr>
                <w:rFonts w:hint="eastAsia" w:ascii="宋体" w:hAnsi="宋体" w:eastAsia="宋体" w:cs="宋体"/>
                <w:spacing w:val="-5"/>
                <w:sz w:val="18"/>
                <w:szCs w:val="18"/>
              </w:rPr>
              <w:t>市市场</w:t>
            </w:r>
          </w:p>
          <w:p>
            <w:pPr>
              <w:rPr>
                <w:rFonts w:hint="eastAsia" w:ascii="宋体" w:hAnsi="宋体" w:eastAsia="宋体" w:cs="宋体"/>
                <w:spacing w:val="-5"/>
                <w:sz w:val="18"/>
                <w:szCs w:val="18"/>
              </w:rPr>
            </w:pPr>
            <w:r>
              <w:rPr>
                <w:rFonts w:hint="eastAsia" w:ascii="宋体" w:hAnsi="宋体" w:eastAsia="宋体" w:cs="宋体"/>
                <w:spacing w:val="-5"/>
                <w:sz w:val="18"/>
                <w:szCs w:val="18"/>
              </w:rPr>
              <w:t>监管局</w:t>
            </w:r>
          </w:p>
          <w:p>
            <w:pPr>
              <w:rPr>
                <w:rFonts w:hint="eastAsia" w:ascii="宋体" w:hAnsi="宋体" w:eastAsia="宋体" w:cs="宋体"/>
                <w:spacing w:val="-5"/>
                <w:sz w:val="18"/>
                <w:szCs w:val="18"/>
                <w:lang w:val="en-US" w:eastAsia="zh-CN"/>
              </w:rPr>
            </w:pPr>
            <w:r>
              <w:rPr>
                <w:rFonts w:hint="eastAsia" w:ascii="宋体" w:hAnsi="宋体" w:eastAsia="宋体" w:cs="宋体"/>
                <w:spacing w:val="-5"/>
                <w:sz w:val="18"/>
                <w:szCs w:val="18"/>
              </w:rPr>
              <w:t>负责</w:t>
            </w:r>
          </w:p>
        </w:tc>
        <w:tc>
          <w:tcPr>
            <w:tcW w:w="2200"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①积极推广电子营业执照在政商领域应用，提升企业开办便利度。    </w:t>
            </w:r>
          </w:p>
          <w:p>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②企业可以通过电脑、手机以及政务大厅自助服务区直接开办企业，实 现电子认证、电子签名、在线审核、 网上发照，实现企业开办“一次验 证、全网通办” 。                ③部门数据同步采集、业务同步办 理、结果实时共享，提升企业开办 效率和质量。</w:t>
            </w:r>
          </w:p>
        </w:tc>
        <w:tc>
          <w:tcPr>
            <w:tcW w:w="1116" w:type="dxa"/>
            <w:noWrap w:val="0"/>
            <w:vAlign w:val="top"/>
          </w:tcPr>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napToGrid w:val="0"/>
                <w:color w:val="000000"/>
                <w:kern w:val="0"/>
                <w:sz w:val="18"/>
                <w:szCs w:val="18"/>
                <w:lang w:val="en-US" w:eastAsia="zh-CN"/>
              </w:rPr>
            </w:pPr>
          </w:p>
          <w:p>
            <w:pPr>
              <w:rPr>
                <w:rFonts w:hint="eastAsia" w:ascii="宋体" w:hAnsi="宋体" w:eastAsia="宋体" w:cs="宋体"/>
                <w:sz w:val="18"/>
                <w:szCs w:val="18"/>
              </w:rPr>
            </w:pPr>
            <w:r>
              <w:rPr>
                <w:rFonts w:hint="eastAsia" w:ascii="宋体" w:hAnsi="宋体" w:eastAsia="宋体" w:cs="宋体"/>
                <w:snapToGrid w:val="0"/>
                <w:color w:val="000000"/>
                <w:kern w:val="0"/>
                <w:sz w:val="18"/>
                <w:szCs w:val="18"/>
                <w:lang w:val="en-US" w:eastAsia="zh-CN"/>
              </w:rPr>
              <w:t>指导企业下载电子营业执照，企业银行开户可使用电子营业执照开户，提升企业开办便利度。</w:t>
            </w:r>
          </w:p>
        </w:tc>
        <w:tc>
          <w:tcPr>
            <w:tcW w:w="121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依托吉林省“e”窗通全程电话系统，实现企业开办一日办结，审批电话、</w:t>
            </w:r>
            <w:r>
              <w:rPr>
                <w:rFonts w:hint="eastAsia" w:ascii="宋体" w:hAnsi="宋体" w:eastAsia="宋体" w:cs="宋体"/>
                <w:sz w:val="18"/>
                <w:szCs w:val="18"/>
              </w:rPr>
              <w:t>证照数字化、全程无纸化。</w:t>
            </w:r>
          </w:p>
        </w:tc>
        <w:tc>
          <w:tcPr>
            <w:tcW w:w="1100"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依托吉林省“e”窗通全程电话系统，实现企业开办一日办结，审批电话、</w:t>
            </w:r>
            <w:r>
              <w:rPr>
                <w:rFonts w:hint="eastAsia" w:ascii="宋体" w:hAnsi="宋体" w:eastAsia="宋体" w:cs="宋体"/>
                <w:sz w:val="18"/>
                <w:szCs w:val="18"/>
              </w:rPr>
              <w:t>证照数字化、全程无纸化。</w:t>
            </w:r>
          </w:p>
        </w:tc>
        <w:tc>
          <w:tcPr>
            <w:tcW w:w="1133"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rPr>
            </w:pPr>
            <w:r>
              <w:rPr>
                <w:rFonts w:hint="eastAsia" w:ascii="宋体" w:hAnsi="宋体" w:eastAsia="宋体" w:cs="宋体"/>
                <w:sz w:val="18"/>
                <w:szCs w:val="18"/>
                <w:lang w:val="en-US" w:eastAsia="zh-CN"/>
              </w:rPr>
              <w:t>依托吉林省“e”窗通全程电话系统，实现企业开办一日办结，审批电话、</w:t>
            </w:r>
            <w:r>
              <w:rPr>
                <w:rFonts w:hint="eastAsia" w:ascii="宋体" w:hAnsi="宋体" w:eastAsia="宋体" w:cs="宋体"/>
                <w:sz w:val="18"/>
                <w:szCs w:val="18"/>
              </w:rPr>
              <w:t>证照数字化、全程无纸化。</w:t>
            </w:r>
          </w:p>
        </w:tc>
        <w:tc>
          <w:tcPr>
            <w:tcW w:w="934" w:type="dxa"/>
            <w:noWrap w:val="0"/>
            <w:vAlign w:val="top"/>
          </w:tcPr>
          <w:p>
            <w:pPr>
              <w:rPr>
                <w:rFonts w:hint="eastAsia" w:ascii="宋体" w:hAnsi="宋体" w:eastAsia="宋体" w:cs="宋体"/>
                <w:snapToGrid w:val="0"/>
                <w:color w:val="000000"/>
                <w:kern w:val="0"/>
                <w:sz w:val="18"/>
                <w:szCs w:val="18"/>
                <w:lang w:eastAsia="zh-CN"/>
              </w:rPr>
            </w:pPr>
          </w:p>
          <w:p>
            <w:pPr>
              <w:bidi w:val="0"/>
              <w:rPr>
                <w:rFonts w:hint="eastAsia" w:ascii="宋体" w:hAnsi="宋体" w:eastAsia="宋体" w:cs="宋体"/>
                <w:snapToGrid w:val="0"/>
                <w:color w:val="000000"/>
                <w:kern w:val="0"/>
                <w:sz w:val="21"/>
                <w:szCs w:val="21"/>
                <w:lang w:eastAsia="zh-CN"/>
              </w:rPr>
            </w:pPr>
          </w:p>
          <w:p>
            <w:pPr>
              <w:bidi w:val="0"/>
              <w:rPr>
                <w:rFonts w:hint="eastAsia" w:ascii="宋体" w:hAnsi="宋体" w:eastAsia="宋体" w:cs="宋体"/>
                <w:lang w:eastAsia="zh-CN"/>
              </w:rPr>
            </w:pPr>
          </w:p>
          <w:p>
            <w:pPr>
              <w:bidi w:val="0"/>
              <w:rPr>
                <w:rFonts w:hint="eastAsia" w:ascii="宋体" w:hAnsi="宋体" w:eastAsia="宋体" w:cs="宋体"/>
                <w:lang w:eastAsia="zh-CN"/>
              </w:rPr>
            </w:pPr>
          </w:p>
          <w:p>
            <w:pPr>
              <w:bidi w:val="0"/>
              <w:rPr>
                <w:rFonts w:hint="eastAsia" w:ascii="宋体" w:hAnsi="宋体" w:eastAsia="宋体" w:cs="宋体"/>
                <w:lang w:eastAsia="zh-CN"/>
              </w:rPr>
            </w:pPr>
          </w:p>
          <w:p>
            <w:pPr>
              <w:bidi w:val="0"/>
              <w:rPr>
                <w:rFonts w:hint="eastAsia" w:ascii="宋体" w:hAnsi="宋体" w:eastAsia="宋体" w:cs="宋体"/>
                <w:lang w:eastAsia="zh-CN"/>
              </w:rPr>
            </w:pPr>
          </w:p>
          <w:p>
            <w:pPr>
              <w:bidi w:val="0"/>
              <w:jc w:val="left"/>
              <w:rPr>
                <w:rFonts w:hint="eastAsia" w:ascii="宋体" w:hAnsi="宋体" w:eastAsia="宋体" w:cs="宋体"/>
                <w:sz w:val="18"/>
                <w:szCs w:val="18"/>
              </w:rPr>
            </w:pPr>
            <w:r>
              <w:rPr>
                <w:rFonts w:hint="eastAsia" w:ascii="宋体" w:hAnsi="宋体" w:eastAsia="宋体" w:cs="宋体"/>
                <w:sz w:val="18"/>
                <w:szCs w:val="18"/>
                <w:lang w:val="en-US" w:eastAsia="zh-CN"/>
              </w:rPr>
              <w:t>靖宇县市场监督管理局</w:t>
            </w:r>
          </w:p>
        </w:tc>
        <w:tc>
          <w:tcPr>
            <w:tcW w:w="972"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尹发忠</w:t>
            </w:r>
          </w:p>
        </w:tc>
        <w:tc>
          <w:tcPr>
            <w:tcW w:w="1110"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行政审批办</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张嘉轩15500477000</w:t>
            </w:r>
          </w:p>
          <w:p>
            <w:pPr>
              <w:jc w:val="center"/>
              <w:rPr>
                <w:rFonts w:hint="eastAsia" w:ascii="宋体" w:hAnsi="宋体" w:eastAsia="宋体" w:cs="宋体"/>
                <w:sz w:val="18"/>
                <w:szCs w:val="18"/>
              </w:rPr>
            </w:pPr>
          </w:p>
        </w:tc>
      </w:tr>
    </w:tbl>
    <w:p>
      <w:pPr>
        <w:rPr>
          <w:rFonts w:hint="eastAsia" w:ascii="宋体" w:hAnsi="宋体" w:eastAsia="宋体" w:cs="宋体"/>
        </w:rPr>
        <w:sectPr>
          <w:pgSz w:w="16838" w:h="11906" w:orient="landscape"/>
          <w:pgMar w:top="839" w:right="1304" w:bottom="1661" w:left="1287" w:header="851" w:footer="992" w:gutter="0"/>
          <w:pgNumType w:fmt="decimal"/>
          <w:cols w:space="720" w:num="1"/>
          <w:rtlGutter w:val="0"/>
          <w:docGrid w:type="lines" w:linePitch="312" w:charSpace="0"/>
        </w:sectPr>
      </w:pPr>
    </w:p>
    <w:p>
      <w:pPr>
        <w:rPr>
          <w:rFonts w:hint="eastAsia" w:ascii="宋体" w:hAnsi="宋体" w:eastAsia="宋体" w:cs="宋体"/>
        </w:rPr>
      </w:pPr>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683"/>
        <w:gridCol w:w="617"/>
        <w:gridCol w:w="2326"/>
        <w:gridCol w:w="735"/>
        <w:gridCol w:w="2141"/>
        <w:gridCol w:w="1578"/>
        <w:gridCol w:w="1218"/>
        <w:gridCol w:w="1235"/>
        <w:gridCol w:w="1269"/>
        <w:gridCol w:w="819"/>
        <w:gridCol w:w="702"/>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383"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16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17"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326"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735"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141"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5300"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819"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702"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3"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683" w:type="dxa"/>
            <w:vMerge w:val="continue"/>
            <w:tcBorders>
              <w:top w:val="nil"/>
            </w:tcBorders>
            <w:noWrap w:val="0"/>
            <w:vAlign w:val="top"/>
          </w:tcPr>
          <w:p>
            <w:pPr>
              <w:rPr>
                <w:rFonts w:hint="eastAsia" w:ascii="宋体" w:hAnsi="宋体" w:eastAsia="宋体" w:cs="宋体"/>
                <w:sz w:val="18"/>
                <w:szCs w:val="18"/>
                <w:lang w:eastAsia="zh-CN"/>
              </w:rPr>
            </w:pPr>
          </w:p>
        </w:tc>
        <w:tc>
          <w:tcPr>
            <w:tcW w:w="617" w:type="dxa"/>
            <w:vMerge w:val="continue"/>
            <w:tcBorders>
              <w:top w:val="nil"/>
            </w:tcBorders>
            <w:noWrap w:val="0"/>
            <w:vAlign w:val="top"/>
          </w:tcPr>
          <w:p>
            <w:pPr>
              <w:rPr>
                <w:rFonts w:hint="eastAsia" w:ascii="宋体" w:hAnsi="宋体" w:eastAsia="宋体" w:cs="宋体"/>
                <w:sz w:val="18"/>
                <w:szCs w:val="18"/>
              </w:rPr>
            </w:pPr>
          </w:p>
        </w:tc>
        <w:tc>
          <w:tcPr>
            <w:tcW w:w="2326" w:type="dxa"/>
            <w:vMerge w:val="continue"/>
            <w:tcBorders>
              <w:top w:val="nil"/>
            </w:tcBorders>
            <w:noWrap w:val="0"/>
            <w:vAlign w:val="top"/>
          </w:tcPr>
          <w:p>
            <w:pPr>
              <w:rPr>
                <w:rFonts w:hint="eastAsia" w:ascii="宋体" w:hAnsi="宋体" w:eastAsia="宋体" w:cs="宋体"/>
                <w:sz w:val="18"/>
                <w:szCs w:val="18"/>
              </w:rPr>
            </w:pPr>
          </w:p>
        </w:tc>
        <w:tc>
          <w:tcPr>
            <w:tcW w:w="735" w:type="dxa"/>
            <w:vMerge w:val="continue"/>
            <w:noWrap w:val="0"/>
            <w:vAlign w:val="top"/>
          </w:tcPr>
          <w:p>
            <w:pPr>
              <w:rPr>
                <w:rFonts w:hint="eastAsia" w:ascii="宋体" w:hAnsi="宋体" w:eastAsia="宋体" w:cs="宋体"/>
                <w:sz w:val="18"/>
                <w:szCs w:val="18"/>
              </w:rPr>
            </w:pPr>
          </w:p>
        </w:tc>
        <w:tc>
          <w:tcPr>
            <w:tcW w:w="2141" w:type="dxa"/>
            <w:vMerge w:val="continue"/>
            <w:noWrap w:val="0"/>
            <w:vAlign w:val="top"/>
          </w:tcPr>
          <w:p>
            <w:pPr>
              <w:rPr>
                <w:rFonts w:hint="eastAsia" w:ascii="宋体" w:hAnsi="宋体" w:eastAsia="宋体" w:cs="宋体"/>
                <w:sz w:val="18"/>
                <w:szCs w:val="18"/>
              </w:rPr>
            </w:pPr>
          </w:p>
        </w:tc>
        <w:tc>
          <w:tcPr>
            <w:tcW w:w="1578" w:type="dxa"/>
            <w:noWrap w:val="0"/>
            <w:vAlign w:val="top"/>
          </w:tcPr>
          <w:p>
            <w:pPr>
              <w:ind w:firstLine="180" w:firstLineChars="100"/>
              <w:rPr>
                <w:rFonts w:hint="eastAsia" w:ascii="宋体" w:hAnsi="宋体" w:eastAsia="宋体" w:cs="宋体"/>
                <w:sz w:val="18"/>
                <w:szCs w:val="18"/>
              </w:rPr>
            </w:pPr>
          </w:p>
          <w:p>
            <w:pPr>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第一季度</w:t>
            </w:r>
          </w:p>
        </w:tc>
        <w:tc>
          <w:tcPr>
            <w:tcW w:w="1218" w:type="dxa"/>
            <w:noWrap w:val="0"/>
            <w:vAlign w:val="top"/>
          </w:tcPr>
          <w:p>
            <w:pPr>
              <w:ind w:firstLine="180" w:firstLineChars="100"/>
              <w:jc w:val="cente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第二季度</w:t>
            </w:r>
          </w:p>
        </w:tc>
        <w:tc>
          <w:tcPr>
            <w:tcW w:w="1235"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269"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819" w:type="dxa"/>
            <w:vMerge w:val="continue"/>
            <w:tcBorders>
              <w:top w:val="nil"/>
            </w:tcBorders>
            <w:noWrap w:val="0"/>
            <w:vAlign w:val="top"/>
          </w:tcPr>
          <w:p>
            <w:pPr>
              <w:rPr>
                <w:rFonts w:hint="eastAsia" w:ascii="宋体" w:hAnsi="宋体" w:eastAsia="宋体" w:cs="宋体"/>
                <w:sz w:val="18"/>
                <w:szCs w:val="18"/>
              </w:rPr>
            </w:pPr>
          </w:p>
        </w:tc>
        <w:tc>
          <w:tcPr>
            <w:tcW w:w="702"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5" w:hRule="atLeast"/>
        </w:trPr>
        <w:tc>
          <w:tcPr>
            <w:tcW w:w="383" w:type="dxa"/>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683" w:type="dxa"/>
            <w:noWrap w:val="0"/>
            <w:vAlign w:val="top"/>
          </w:tcPr>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建立健全政务服务“好差评”体系。加快建立政务服务“好差评”制度，建设统 一“好差评”系统，通过P C端、短信、A P P 、小程 序、实体政务服务中心评价 器等开展多渠道服务评价。 加大宣传力度，进一步引导服务对象广泛参与，推进政务服务质量不断提升。</w:t>
            </w: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tc>
        <w:tc>
          <w:tcPr>
            <w:tcW w:w="617" w:type="dxa"/>
            <w:noWrap w:val="0"/>
            <w:vAlign w:val="top"/>
          </w:tcPr>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p>
          <w:p>
            <w:pP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省政数 局牵头，各有关部门及各市、县政府按职责分工负责</w:t>
            </w:r>
          </w:p>
        </w:tc>
        <w:tc>
          <w:tcPr>
            <w:tcW w:w="2326" w:type="dxa"/>
            <w:noWrap w:val="0"/>
            <w:vAlign w:val="top"/>
          </w:tcPr>
          <w:p>
            <w:pPr>
              <w:jc w:val="left"/>
              <w:rPr>
                <w:rFonts w:hint="eastAsia" w:ascii="宋体" w:hAnsi="宋体" w:eastAsia="宋体" w:cs="宋体"/>
                <w:color w:val="auto"/>
                <w:sz w:val="16"/>
                <w:szCs w:val="16"/>
                <w:lang w:val="en-US" w:eastAsia="zh-CN"/>
              </w:rPr>
            </w:pPr>
          </w:p>
          <w:p>
            <w:pPr>
              <w:jc w:val="left"/>
              <w:rPr>
                <w:rFonts w:hint="eastAsia" w:ascii="宋体" w:hAnsi="宋体" w:eastAsia="宋体" w:cs="宋体"/>
                <w:color w:val="auto"/>
                <w:sz w:val="16"/>
                <w:szCs w:val="16"/>
                <w:lang w:val="en-US" w:eastAsia="zh-CN"/>
              </w:rPr>
            </w:pPr>
          </w:p>
          <w:p>
            <w:pPr>
              <w:jc w:val="left"/>
              <w:rPr>
                <w:rFonts w:hint="eastAsia" w:ascii="宋体" w:hAnsi="宋体" w:eastAsia="宋体" w:cs="宋体"/>
                <w:color w:val="auto"/>
                <w:sz w:val="16"/>
                <w:szCs w:val="16"/>
                <w:lang w:val="en-US" w:eastAsia="zh-CN"/>
              </w:rPr>
            </w:pPr>
          </w:p>
          <w:p>
            <w:pPr>
              <w:jc w:val="left"/>
              <w:rPr>
                <w:rFonts w:hint="eastAsia" w:ascii="宋体" w:hAnsi="宋体" w:eastAsia="宋体" w:cs="宋体"/>
                <w:color w:val="auto"/>
                <w:sz w:val="16"/>
                <w:szCs w:val="16"/>
                <w:lang w:val="en-US" w:eastAsia="zh-CN"/>
              </w:rPr>
            </w:pPr>
          </w:p>
          <w:p>
            <w:pPr>
              <w:jc w:val="left"/>
              <w:rPr>
                <w:rFonts w:hint="eastAsia" w:ascii="宋体" w:hAnsi="宋体" w:eastAsia="宋体" w:cs="宋体"/>
                <w:color w:val="auto"/>
                <w:sz w:val="16"/>
                <w:szCs w:val="16"/>
                <w:lang w:val="en-US" w:eastAsia="zh-CN"/>
              </w:rPr>
            </w:pPr>
          </w:p>
          <w:p>
            <w:pPr>
              <w:jc w:val="left"/>
              <w:rPr>
                <w:rFonts w:hint="eastAsia" w:ascii="宋体" w:hAnsi="宋体" w:eastAsia="宋体" w:cs="宋体"/>
                <w:color w:val="auto"/>
                <w:sz w:val="16"/>
                <w:szCs w:val="16"/>
                <w:lang w:val="en-US" w:eastAsia="zh-CN"/>
              </w:rPr>
            </w:pPr>
          </w:p>
          <w:p>
            <w:pPr>
              <w:jc w:val="left"/>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①现场服务“一次一评”。在服务窗口醒目位置设置评价器，方便办 事企业和群众自主评价。</w:t>
            </w:r>
          </w:p>
          <w:p>
            <w:pPr>
              <w:jc w:val="left"/>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②网上服务“一事一评”。通过“吉事办”网上办理渠道，运用好评价功能模块，方便企业和群众即时评价。</w:t>
            </w:r>
          </w:p>
          <w:p>
            <w:pPr>
              <w:jc w:val="left"/>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③社会各界“综合点评”。通过意见箱、热线电话、监督平台、电子邮箱等多种渠道和方式，主动接受社会各界的综合性评价。</w:t>
            </w:r>
          </w:p>
          <w:p>
            <w:pPr>
              <w:jc w:val="left"/>
              <w:rPr>
                <w:rFonts w:hint="eastAsia" w:ascii="宋体" w:hAnsi="宋体" w:eastAsia="宋体" w:cs="宋体"/>
                <w:color w:val="auto"/>
                <w:sz w:val="16"/>
                <w:szCs w:val="16"/>
                <w:lang w:val="en-US" w:eastAsia="zh-CN"/>
              </w:rPr>
            </w:pPr>
          </w:p>
        </w:tc>
        <w:tc>
          <w:tcPr>
            <w:tcW w:w="735" w:type="dxa"/>
            <w:noWrap w:val="0"/>
            <w:vAlign w:val="center"/>
          </w:tcPr>
          <w:p>
            <w:pPr>
              <w:jc w:val="left"/>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市政数局牵头，各有关部门及各县(市、区) 政府按职责分工负责</w:t>
            </w:r>
          </w:p>
        </w:tc>
        <w:tc>
          <w:tcPr>
            <w:tcW w:w="2141" w:type="dxa"/>
            <w:noWrap w:val="0"/>
            <w:vAlign w:val="center"/>
          </w:tcPr>
          <w:p>
            <w:pPr>
              <w:jc w:val="left"/>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加快建立政务服务“好差评”制度，建设统一“好差评”系统，通过ＰＣ端、短信、ＡＰＰ、小程序、实体政务服务中心评价器等开展多渠道服务评价。加大宣传力度，进一步引导服务对象广泛参与，推进政务服务质量不断提升。</w:t>
            </w:r>
          </w:p>
        </w:tc>
        <w:tc>
          <w:tcPr>
            <w:tcW w:w="1578" w:type="dxa"/>
            <w:noWrap w:val="0"/>
            <w:vAlign w:val="center"/>
          </w:tcPr>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①现场服务“一次一评”。在服务窗口醒目位置设置评价器，方便办事企业和群众自主评价。</w:t>
            </w:r>
          </w:p>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②网上服务“一事一评”。通过“吉事办”网上办理渠道，运用好评价功能模块，方便企业和群众即时评价。</w:t>
            </w:r>
          </w:p>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③社会各界“综合点评”。通过意见箱、热线电话、监督平台、电子邮箱等多种渠道和方式，主动接受社会各界的综合性评</w:t>
            </w:r>
            <w:r>
              <w:rPr>
                <w:rFonts w:hint="eastAsia" w:ascii="宋体" w:hAnsi="宋体" w:eastAsia="宋体" w:cs="宋体"/>
                <w:color w:val="auto"/>
                <w:sz w:val="16"/>
                <w:szCs w:val="16"/>
                <w:lang w:val="en-US" w:eastAsia="zh-CN"/>
              </w:rPr>
              <w:t>价</w:t>
            </w:r>
            <w:r>
              <w:rPr>
                <w:rFonts w:hint="eastAsia" w:ascii="宋体" w:hAnsi="宋体" w:eastAsia="宋体" w:cs="宋体"/>
                <w:color w:val="auto"/>
                <w:sz w:val="16"/>
                <w:szCs w:val="16"/>
              </w:rPr>
              <w:t>。</w:t>
            </w:r>
          </w:p>
          <w:p>
            <w:pPr>
              <w:jc w:val="both"/>
              <w:rPr>
                <w:rFonts w:hint="eastAsia" w:ascii="宋体" w:hAnsi="宋体" w:eastAsia="宋体" w:cs="宋体"/>
                <w:color w:val="auto"/>
                <w:sz w:val="16"/>
                <w:szCs w:val="16"/>
              </w:rPr>
            </w:pPr>
            <w:r>
              <w:rPr>
                <w:rFonts w:hint="eastAsia" w:ascii="宋体" w:hAnsi="宋体" w:eastAsia="宋体" w:cs="宋体"/>
                <w:color w:val="auto"/>
                <w:sz w:val="16"/>
                <w:szCs w:val="16"/>
                <w:lang w:val="en-US" w:eastAsia="zh-CN"/>
              </w:rPr>
              <w:t>此项工作持续推进中。</w:t>
            </w:r>
          </w:p>
        </w:tc>
        <w:tc>
          <w:tcPr>
            <w:tcW w:w="1218" w:type="dxa"/>
            <w:noWrap w:val="0"/>
            <w:vAlign w:val="center"/>
          </w:tcPr>
          <w:p>
            <w:pPr>
              <w:jc w:val="both"/>
              <w:rPr>
                <w:rFonts w:hint="eastAsia" w:ascii="宋体" w:hAnsi="宋体" w:eastAsia="宋体" w:cs="宋体"/>
                <w:color w:val="auto"/>
                <w:sz w:val="16"/>
                <w:szCs w:val="16"/>
              </w:rPr>
            </w:pPr>
            <w:r>
              <w:rPr>
                <w:rFonts w:hint="eastAsia" w:ascii="宋体" w:hAnsi="宋体" w:eastAsia="宋体" w:cs="宋体"/>
                <w:color w:val="auto"/>
                <w:sz w:val="16"/>
                <w:szCs w:val="16"/>
                <w:lang w:eastAsia="zh-CN"/>
              </w:rPr>
              <w:t>①现场服务“一次一评”。在服务窗口醒目位置设置评价器，方便办事企业和群众自主评价。②网上服务“一事一评”。通过“吉事办”网上办理渠道，运用好评价功能模块，方便企业和群众即时评价。③社会各界“综合点评”。通过意见箱、热线电话、监督平台、电子邮箱等多种渠道和方式，主动接受社会各界的综合性评</w:t>
            </w:r>
            <w:r>
              <w:rPr>
                <w:rFonts w:hint="eastAsia" w:ascii="宋体" w:hAnsi="宋体" w:eastAsia="宋体" w:cs="宋体"/>
                <w:color w:val="auto"/>
                <w:sz w:val="16"/>
                <w:szCs w:val="16"/>
                <w:lang w:val="en-US" w:eastAsia="zh-CN"/>
              </w:rPr>
              <w:t>价</w:t>
            </w:r>
            <w:r>
              <w:rPr>
                <w:rFonts w:hint="eastAsia" w:ascii="宋体" w:hAnsi="宋体" w:eastAsia="宋体" w:cs="宋体"/>
                <w:color w:val="auto"/>
                <w:sz w:val="16"/>
                <w:szCs w:val="16"/>
              </w:rPr>
              <w:t>。</w:t>
            </w:r>
          </w:p>
        </w:tc>
        <w:tc>
          <w:tcPr>
            <w:tcW w:w="1235" w:type="dxa"/>
            <w:noWrap w:val="0"/>
            <w:vAlign w:val="center"/>
          </w:tcPr>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①现场服务“一次一评”。在服务窗口醒目位置设置评价器，方便办事企业和群众自主评价。</w:t>
            </w:r>
          </w:p>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②网上服务“一事一评”。通过“吉事办”网上办理渠道，运用好评价功能模块，方便企业和群众即时评价。</w:t>
            </w:r>
          </w:p>
          <w:p>
            <w:pPr>
              <w:jc w:val="both"/>
              <w:rPr>
                <w:rFonts w:hint="eastAsia" w:ascii="宋体" w:hAnsi="宋体" w:eastAsia="宋体" w:cs="宋体"/>
                <w:color w:val="auto"/>
                <w:sz w:val="16"/>
                <w:szCs w:val="16"/>
              </w:rPr>
            </w:pPr>
            <w:r>
              <w:rPr>
                <w:rFonts w:hint="eastAsia" w:ascii="宋体" w:hAnsi="宋体" w:eastAsia="宋体" w:cs="宋体"/>
                <w:color w:val="auto"/>
                <w:sz w:val="16"/>
                <w:szCs w:val="16"/>
                <w:lang w:eastAsia="zh-CN"/>
              </w:rPr>
              <w:t>③社会各界“综合点评”。通过意见箱、热线电话、监督平台、电子邮箱等多种渠道和方式，主动接受社会各界的综合性评</w:t>
            </w:r>
            <w:r>
              <w:rPr>
                <w:rFonts w:hint="eastAsia" w:ascii="宋体" w:hAnsi="宋体" w:eastAsia="宋体" w:cs="宋体"/>
                <w:color w:val="auto"/>
                <w:sz w:val="16"/>
                <w:szCs w:val="16"/>
                <w:lang w:val="en-US" w:eastAsia="zh-CN"/>
              </w:rPr>
              <w:t>价</w:t>
            </w:r>
            <w:r>
              <w:rPr>
                <w:rFonts w:hint="eastAsia" w:ascii="宋体" w:hAnsi="宋体" w:eastAsia="宋体" w:cs="宋体"/>
                <w:color w:val="auto"/>
                <w:sz w:val="16"/>
                <w:szCs w:val="16"/>
              </w:rPr>
              <w:t>。</w:t>
            </w:r>
          </w:p>
        </w:tc>
        <w:tc>
          <w:tcPr>
            <w:tcW w:w="1269" w:type="dxa"/>
            <w:noWrap w:val="0"/>
            <w:vAlign w:val="center"/>
          </w:tcPr>
          <w:p>
            <w:pPr>
              <w:jc w:val="both"/>
              <w:rPr>
                <w:rFonts w:hint="eastAsia" w:ascii="宋体" w:hAnsi="宋体" w:eastAsia="宋体" w:cs="宋体"/>
                <w:color w:val="auto"/>
                <w:sz w:val="16"/>
                <w:szCs w:val="16"/>
                <w:lang w:eastAsia="zh-CN"/>
              </w:rPr>
            </w:pPr>
          </w:p>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①现场服务“一次一评”。在服务窗口醒目位置设置评价器，方便办事企业和群众自主评价。</w:t>
            </w:r>
          </w:p>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②网上服务“一事一评”。通过“吉事办”网上办理渠道，运用好评价功能模块，方便企业和群众即时评价。</w:t>
            </w:r>
          </w:p>
          <w:p>
            <w:pPr>
              <w:jc w:val="both"/>
              <w:rPr>
                <w:rFonts w:hint="eastAsia" w:ascii="宋体" w:hAnsi="宋体" w:eastAsia="宋体" w:cs="宋体"/>
                <w:color w:val="auto"/>
                <w:sz w:val="16"/>
                <w:szCs w:val="16"/>
                <w:lang w:eastAsia="zh-CN"/>
              </w:rPr>
            </w:pPr>
            <w:r>
              <w:rPr>
                <w:rFonts w:hint="eastAsia" w:ascii="宋体" w:hAnsi="宋体" w:eastAsia="宋体" w:cs="宋体"/>
                <w:color w:val="auto"/>
                <w:sz w:val="16"/>
                <w:szCs w:val="16"/>
                <w:lang w:eastAsia="zh-CN"/>
              </w:rPr>
              <w:t>③社会各界“综合点评”。通过意见箱、热线电话、监督平台、电子邮箱等多种渠道和方式，主动接受社会各界的综合性评</w:t>
            </w:r>
            <w:r>
              <w:rPr>
                <w:rFonts w:hint="eastAsia" w:ascii="宋体" w:hAnsi="宋体" w:eastAsia="宋体" w:cs="宋体"/>
                <w:color w:val="auto"/>
                <w:sz w:val="16"/>
                <w:szCs w:val="16"/>
                <w:lang w:val="en-US" w:eastAsia="zh-CN"/>
              </w:rPr>
              <w:t>价</w:t>
            </w:r>
            <w:r>
              <w:rPr>
                <w:rFonts w:hint="eastAsia" w:ascii="宋体" w:hAnsi="宋体" w:eastAsia="宋体" w:cs="宋体"/>
                <w:color w:val="auto"/>
                <w:sz w:val="16"/>
                <w:szCs w:val="16"/>
              </w:rPr>
              <w:t>。</w:t>
            </w:r>
          </w:p>
          <w:p>
            <w:pPr>
              <w:jc w:val="left"/>
              <w:rPr>
                <w:rFonts w:hint="eastAsia" w:ascii="宋体" w:hAnsi="宋体" w:eastAsia="宋体" w:cs="宋体"/>
                <w:color w:val="auto"/>
                <w:sz w:val="16"/>
                <w:szCs w:val="16"/>
              </w:rPr>
            </w:pPr>
          </w:p>
        </w:tc>
        <w:tc>
          <w:tcPr>
            <w:tcW w:w="819" w:type="dxa"/>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lang w:val="en-US" w:eastAsia="zh-CN"/>
              </w:rPr>
              <w:t>县政数局牵头，</w:t>
            </w:r>
            <w:r>
              <w:rPr>
                <w:rFonts w:hint="eastAsia" w:ascii="宋体" w:hAnsi="宋体" w:eastAsia="宋体" w:cs="宋体"/>
                <w:b w:val="0"/>
                <w:bCs w:val="0"/>
                <w:sz w:val="18"/>
                <w:szCs w:val="18"/>
                <w:lang w:val="en-US" w:eastAsia="zh-CN"/>
              </w:rPr>
              <w:t>各相关部门按职责分工分责</w:t>
            </w:r>
          </w:p>
        </w:tc>
        <w:tc>
          <w:tcPr>
            <w:tcW w:w="702" w:type="dxa"/>
            <w:noWrap w:val="0"/>
            <w:vAlign w:val="center"/>
          </w:tcPr>
          <w:p>
            <w:pPr>
              <w:jc w:val="both"/>
              <w:rPr>
                <w:rFonts w:hint="eastAsia" w:ascii="宋体" w:hAnsi="宋体" w:eastAsia="宋体" w:cs="宋体"/>
                <w:sz w:val="18"/>
                <w:szCs w:val="18"/>
                <w:lang w:val="en-US" w:eastAsia="zh-CN"/>
              </w:rPr>
            </w:pP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王宇光</w:t>
            </w:r>
          </w:p>
        </w:tc>
        <w:tc>
          <w:tcPr>
            <w:tcW w:w="1126"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信息技术科</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张磊</w:t>
            </w:r>
          </w:p>
          <w:p>
            <w:pPr>
              <w:jc w:val="center"/>
              <w:rPr>
                <w:rFonts w:hint="eastAsia" w:ascii="宋体" w:hAnsi="宋体" w:eastAsia="宋体" w:cs="宋体"/>
                <w:sz w:val="18"/>
                <w:szCs w:val="18"/>
              </w:rPr>
            </w:pPr>
            <w:r>
              <w:rPr>
                <w:rFonts w:hint="eastAsia" w:ascii="宋体" w:hAnsi="宋体" w:eastAsia="宋体" w:cs="宋体"/>
                <w:sz w:val="18"/>
                <w:szCs w:val="18"/>
                <w:lang w:val="en-US" w:eastAsia="zh-CN"/>
              </w:rPr>
              <w:t>15844936667</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tc>
      </w:tr>
    </w:tbl>
    <w:p/>
    <w:tbl>
      <w:tblPr>
        <w:tblStyle w:val="6"/>
        <w:tblW w:w="1608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683"/>
        <w:gridCol w:w="617"/>
        <w:gridCol w:w="2326"/>
        <w:gridCol w:w="735"/>
        <w:gridCol w:w="2141"/>
        <w:gridCol w:w="1789"/>
        <w:gridCol w:w="1095"/>
        <w:gridCol w:w="1147"/>
        <w:gridCol w:w="1269"/>
        <w:gridCol w:w="819"/>
        <w:gridCol w:w="702"/>
        <w:gridCol w:w="13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3"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1683"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17"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326"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735"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141"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5300"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819"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702"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376" w:type="dxa"/>
            <w:vMerge w:val="restart"/>
            <w:noWrap w:val="0"/>
            <w:vAlign w:val="top"/>
          </w:tcPr>
          <w:p>
            <w:pPr>
              <w:tabs>
                <w:tab w:val="left" w:pos="590"/>
              </w:tabs>
              <w:spacing w:before="246" w:line="251" w:lineRule="auto"/>
              <w:ind w:left="87" w:leftChars="0" w:right="71" w:rightChars="0" w:firstLine="5" w:firstLineChars="0"/>
              <w:jc w:val="center"/>
              <w:rPr>
                <w:rFonts w:hint="eastAsia" w:ascii="宋体" w:hAnsi="宋体" w:eastAsia="宋体" w:cs="宋体"/>
                <w:spacing w:val="-3"/>
                <w:sz w:val="16"/>
                <w:szCs w:val="16"/>
                <w:lang w:val="en-US" w:eastAsia="zh-CN"/>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83"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1683" w:type="dxa"/>
            <w:vMerge w:val="continue"/>
            <w:tcBorders>
              <w:top w:val="nil"/>
            </w:tcBorders>
            <w:noWrap w:val="0"/>
            <w:vAlign w:val="top"/>
          </w:tcPr>
          <w:p>
            <w:pPr>
              <w:rPr>
                <w:rFonts w:hint="eastAsia" w:ascii="宋体" w:hAnsi="宋体" w:eastAsia="宋体" w:cs="宋体"/>
                <w:sz w:val="18"/>
                <w:szCs w:val="18"/>
                <w:lang w:eastAsia="zh-CN"/>
              </w:rPr>
            </w:pPr>
          </w:p>
        </w:tc>
        <w:tc>
          <w:tcPr>
            <w:tcW w:w="617" w:type="dxa"/>
            <w:vMerge w:val="continue"/>
            <w:tcBorders>
              <w:top w:val="nil"/>
            </w:tcBorders>
            <w:noWrap w:val="0"/>
            <w:vAlign w:val="top"/>
          </w:tcPr>
          <w:p>
            <w:pPr>
              <w:rPr>
                <w:rFonts w:hint="eastAsia" w:ascii="宋体" w:hAnsi="宋体" w:eastAsia="宋体" w:cs="宋体"/>
                <w:sz w:val="18"/>
                <w:szCs w:val="18"/>
              </w:rPr>
            </w:pPr>
          </w:p>
        </w:tc>
        <w:tc>
          <w:tcPr>
            <w:tcW w:w="2326" w:type="dxa"/>
            <w:vMerge w:val="continue"/>
            <w:tcBorders>
              <w:top w:val="nil"/>
            </w:tcBorders>
            <w:noWrap w:val="0"/>
            <w:vAlign w:val="top"/>
          </w:tcPr>
          <w:p>
            <w:pPr>
              <w:rPr>
                <w:rFonts w:hint="eastAsia" w:ascii="宋体" w:hAnsi="宋体" w:eastAsia="宋体" w:cs="宋体"/>
                <w:sz w:val="18"/>
                <w:szCs w:val="18"/>
              </w:rPr>
            </w:pPr>
          </w:p>
        </w:tc>
        <w:tc>
          <w:tcPr>
            <w:tcW w:w="735" w:type="dxa"/>
            <w:vMerge w:val="continue"/>
            <w:noWrap w:val="0"/>
            <w:vAlign w:val="top"/>
          </w:tcPr>
          <w:p>
            <w:pPr>
              <w:rPr>
                <w:rFonts w:hint="eastAsia" w:ascii="宋体" w:hAnsi="宋体" w:eastAsia="宋体" w:cs="宋体"/>
                <w:sz w:val="18"/>
                <w:szCs w:val="18"/>
              </w:rPr>
            </w:pPr>
          </w:p>
        </w:tc>
        <w:tc>
          <w:tcPr>
            <w:tcW w:w="2141" w:type="dxa"/>
            <w:vMerge w:val="continue"/>
            <w:noWrap w:val="0"/>
            <w:vAlign w:val="top"/>
          </w:tcPr>
          <w:p>
            <w:pPr>
              <w:rPr>
                <w:rFonts w:hint="eastAsia" w:ascii="宋体" w:hAnsi="宋体" w:eastAsia="宋体" w:cs="宋体"/>
                <w:sz w:val="18"/>
                <w:szCs w:val="18"/>
              </w:rPr>
            </w:pPr>
          </w:p>
        </w:tc>
        <w:tc>
          <w:tcPr>
            <w:tcW w:w="1789" w:type="dxa"/>
            <w:noWrap w:val="0"/>
            <w:vAlign w:val="top"/>
          </w:tcPr>
          <w:p>
            <w:pPr>
              <w:ind w:firstLine="180" w:firstLineChars="100"/>
              <w:jc w:val="center"/>
              <w:rPr>
                <w:rFonts w:hint="eastAsia" w:ascii="宋体" w:hAnsi="宋体" w:eastAsia="宋体" w:cs="宋体"/>
                <w:sz w:val="18"/>
                <w:szCs w:val="18"/>
              </w:rPr>
            </w:pPr>
          </w:p>
          <w:p>
            <w:pPr>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第一季度</w:t>
            </w:r>
          </w:p>
        </w:tc>
        <w:tc>
          <w:tcPr>
            <w:tcW w:w="1095" w:type="dxa"/>
            <w:noWrap w:val="0"/>
            <w:vAlign w:val="top"/>
          </w:tcPr>
          <w:p>
            <w:pPr>
              <w:ind w:firstLine="180" w:firstLineChars="100"/>
              <w:jc w:val="center"/>
              <w:rPr>
                <w:rFonts w:hint="eastAsia" w:ascii="宋体" w:hAnsi="宋体" w:eastAsia="宋体" w:cs="宋体"/>
                <w:sz w:val="18"/>
                <w:szCs w:val="18"/>
              </w:rPr>
            </w:pPr>
          </w:p>
          <w:p>
            <w:pPr>
              <w:ind w:firstLine="180" w:firstLineChars="100"/>
              <w:jc w:val="both"/>
              <w:rPr>
                <w:rFonts w:hint="eastAsia" w:ascii="宋体" w:hAnsi="宋体" w:eastAsia="宋体" w:cs="宋体"/>
                <w:sz w:val="18"/>
                <w:szCs w:val="18"/>
              </w:rPr>
            </w:pPr>
            <w:r>
              <w:rPr>
                <w:rFonts w:hint="eastAsia" w:ascii="宋体" w:hAnsi="宋体" w:eastAsia="宋体" w:cs="宋体"/>
                <w:sz w:val="18"/>
                <w:szCs w:val="18"/>
              </w:rPr>
              <w:t>第二季度</w:t>
            </w:r>
          </w:p>
        </w:tc>
        <w:tc>
          <w:tcPr>
            <w:tcW w:w="1147" w:type="dxa"/>
            <w:noWrap w:val="0"/>
            <w:vAlign w:val="top"/>
          </w:tcPr>
          <w:p>
            <w:pPr>
              <w:ind w:firstLine="180" w:firstLineChars="100"/>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第三季度</w:t>
            </w:r>
          </w:p>
        </w:tc>
        <w:tc>
          <w:tcPr>
            <w:tcW w:w="1269"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819" w:type="dxa"/>
            <w:vMerge w:val="continue"/>
            <w:tcBorders>
              <w:top w:val="nil"/>
            </w:tcBorders>
            <w:noWrap w:val="0"/>
            <w:vAlign w:val="top"/>
          </w:tcPr>
          <w:p>
            <w:pPr>
              <w:rPr>
                <w:rFonts w:hint="eastAsia" w:ascii="宋体" w:hAnsi="宋体" w:eastAsia="宋体" w:cs="宋体"/>
                <w:sz w:val="18"/>
                <w:szCs w:val="18"/>
              </w:rPr>
            </w:pPr>
          </w:p>
        </w:tc>
        <w:tc>
          <w:tcPr>
            <w:tcW w:w="702" w:type="dxa"/>
            <w:vMerge w:val="continue"/>
            <w:noWrap w:val="0"/>
            <w:vAlign w:val="top"/>
          </w:tcPr>
          <w:p>
            <w:pPr>
              <w:rPr>
                <w:rFonts w:hint="eastAsia" w:ascii="宋体" w:hAnsi="宋体" w:eastAsia="宋体" w:cs="宋体"/>
                <w:sz w:val="18"/>
                <w:szCs w:val="18"/>
              </w:rPr>
            </w:pPr>
          </w:p>
        </w:tc>
        <w:tc>
          <w:tcPr>
            <w:tcW w:w="137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383" w:type="dxa"/>
            <w:vMerge w:val="restart"/>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683" w:type="dxa"/>
            <w:vMerge w:val="restart"/>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深化行政检查执法备案智 能管理改革。健全完善工作机制，制定指导性、协同性 政策文件，有针对性地破解 改革难点问题。不断完善智 能管理系统使用功能，扩大 改革范围，2023 年底前，实 现应纳入改革的行政检查 部门、检查事项、检查人员 “全覆盖”。进一步规范执 法行为，提升执法效能，切 实提高企业和群众满意度。</w:t>
            </w:r>
          </w:p>
        </w:tc>
        <w:tc>
          <w:tcPr>
            <w:tcW w:w="617" w:type="dxa"/>
            <w:vMerge w:val="restart"/>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省司法</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厅、省政数局、省市场监管厅等部门按职责分工负责</w:t>
            </w:r>
          </w:p>
        </w:tc>
        <w:tc>
          <w:tcPr>
            <w:tcW w:w="2326"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扎实开展年度行政执法检查计划审批，落实行政执法三项制度、包容审慎监管执法“四张清单制度” ，开展年度行政执法检查工作，促进严格规范公正文明执法。</w:t>
            </w:r>
          </w:p>
        </w:tc>
        <w:tc>
          <w:tcPr>
            <w:tcW w:w="735"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市司法 局负责</w:t>
            </w:r>
          </w:p>
        </w:tc>
        <w:tc>
          <w:tcPr>
            <w:tcW w:w="2141"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扎实开展年度行政执法检查计划审批，落实行政执法三项制度、包容审慎监管执法“四张清单制度” ，开展年度行政执法监督工作，促进严格规范公正文明执法。</w:t>
            </w:r>
          </w:p>
        </w:tc>
        <w:tc>
          <w:tcPr>
            <w:tcW w:w="1789"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审批完成已经上报的年度检查计划。</w:t>
            </w:r>
          </w:p>
        </w:tc>
        <w:tc>
          <w:tcPr>
            <w:tcW w:w="1095"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按省、市要求逐步开展行政执法监督工作。</w:t>
            </w:r>
          </w:p>
        </w:tc>
        <w:tc>
          <w:tcPr>
            <w:tcW w:w="1147"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按省、市要求逐步开展行政执法监督工作。</w:t>
            </w:r>
          </w:p>
        </w:tc>
        <w:tc>
          <w:tcPr>
            <w:tcW w:w="1269"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按省、市要求逐步开展行政执法监督工作。</w:t>
            </w:r>
          </w:p>
        </w:tc>
        <w:tc>
          <w:tcPr>
            <w:tcW w:w="81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县司法局</w:t>
            </w:r>
          </w:p>
          <w:p>
            <w:pPr>
              <w:jc w:val="center"/>
              <w:rPr>
                <w:rFonts w:hint="eastAsia" w:ascii="宋体" w:hAnsi="宋体" w:eastAsia="宋体" w:cs="宋体"/>
                <w:sz w:val="18"/>
                <w:szCs w:val="18"/>
              </w:rPr>
            </w:pPr>
          </w:p>
        </w:tc>
        <w:tc>
          <w:tcPr>
            <w:tcW w:w="702"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杨学军</w:t>
            </w:r>
          </w:p>
        </w:tc>
        <w:tc>
          <w:tcPr>
            <w:tcW w:w="137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法制科</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周自恒</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383" w:type="dxa"/>
            <w:vMerge w:val="continue"/>
            <w:noWrap w:val="0"/>
            <w:vAlign w:val="center"/>
          </w:tcPr>
          <w:p>
            <w:pPr>
              <w:jc w:val="center"/>
              <w:rPr>
                <w:rFonts w:hint="eastAsia" w:ascii="宋体" w:hAnsi="宋体" w:eastAsia="宋体" w:cs="宋体"/>
                <w:sz w:val="18"/>
                <w:szCs w:val="18"/>
                <w:lang w:val="en-US" w:eastAsia="zh-CN"/>
              </w:rPr>
            </w:pPr>
          </w:p>
        </w:tc>
        <w:tc>
          <w:tcPr>
            <w:tcW w:w="1683" w:type="dxa"/>
            <w:vMerge w:val="continue"/>
            <w:noWrap w:val="0"/>
            <w:vAlign w:val="top"/>
          </w:tcPr>
          <w:p>
            <w:pPr>
              <w:rPr>
                <w:rFonts w:hint="eastAsia" w:ascii="宋体" w:hAnsi="宋体" w:eastAsia="宋体" w:cs="宋体"/>
                <w:sz w:val="18"/>
                <w:szCs w:val="18"/>
                <w:lang w:val="en-US" w:eastAsia="zh-CN"/>
              </w:rPr>
            </w:pPr>
          </w:p>
        </w:tc>
        <w:tc>
          <w:tcPr>
            <w:tcW w:w="617" w:type="dxa"/>
            <w:vMerge w:val="continue"/>
            <w:noWrap w:val="0"/>
            <w:vAlign w:val="top"/>
          </w:tcPr>
          <w:p>
            <w:pPr>
              <w:rPr>
                <w:rFonts w:hint="eastAsia" w:ascii="宋体" w:hAnsi="宋体" w:eastAsia="宋体" w:cs="宋体"/>
                <w:sz w:val="18"/>
                <w:szCs w:val="18"/>
                <w:lang w:val="en-US" w:eastAsia="zh-CN"/>
              </w:rPr>
            </w:pPr>
          </w:p>
        </w:tc>
        <w:tc>
          <w:tcPr>
            <w:tcW w:w="2326"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制定专项攻坚工作方案，明确任务、 压实责任、细化分工，有组织有计划强力推进。对全市各相关部门检 查人员开展行政检查执法备案智能管理系统 (“我要执法”手机 APP) 培训，加强督导检查，定期通报工作进展情况。</w:t>
            </w:r>
          </w:p>
        </w:tc>
        <w:tc>
          <w:tcPr>
            <w:tcW w:w="73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市政数 局负责</w:t>
            </w:r>
          </w:p>
        </w:tc>
        <w:tc>
          <w:tcPr>
            <w:tcW w:w="2141"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落实专项攻坚工作方案，明确任务、 压实责任、细化分工，有组织有计划强力推进。对全县各相关部门检查人员开展行政检查执法备案智能管理系统 (“我要执法”手机 APP) 培训，加强督导检查，定期通报工作进展情况。</w:t>
            </w:r>
          </w:p>
        </w:tc>
        <w:tc>
          <w:tcPr>
            <w:tcW w:w="1789"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大力推进执法备案工作，目前25个执法部门共认领监管事项454，现已制定检查实施清单数量为454，完成率为100%。25个部门445行政检查执法人员，下载“我要执法”手机APP445人，建立账号445人。</w:t>
            </w:r>
          </w:p>
        </w:tc>
        <w:tc>
          <w:tcPr>
            <w:tcW w:w="1095"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加强日常监督检查，规范行政执法行为。</w:t>
            </w:r>
          </w:p>
        </w:tc>
        <w:tc>
          <w:tcPr>
            <w:tcW w:w="1147"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加强日常监督检查，规范行政执法行为。</w:t>
            </w:r>
          </w:p>
        </w:tc>
        <w:tc>
          <w:tcPr>
            <w:tcW w:w="1269"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加强日常监督检查，规范行政执法行为。</w:t>
            </w:r>
          </w:p>
        </w:tc>
        <w:tc>
          <w:tcPr>
            <w:tcW w:w="819"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lang w:val="en-US" w:eastAsia="zh-CN"/>
              </w:rPr>
              <w:t>县政数局牵头，司法局、市监局按职责分工分责。</w:t>
            </w:r>
          </w:p>
        </w:tc>
        <w:tc>
          <w:tcPr>
            <w:tcW w:w="702"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王宇光</w:t>
            </w:r>
          </w:p>
        </w:tc>
        <w:tc>
          <w:tcPr>
            <w:tcW w:w="1376"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行政审批制度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改革科</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夏涵</w:t>
            </w:r>
          </w:p>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18804306342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4" w:hRule="atLeast"/>
        </w:trPr>
        <w:tc>
          <w:tcPr>
            <w:tcW w:w="383" w:type="dxa"/>
            <w:vMerge w:val="continue"/>
            <w:noWrap w:val="0"/>
            <w:vAlign w:val="center"/>
          </w:tcPr>
          <w:p>
            <w:pPr>
              <w:jc w:val="center"/>
              <w:rPr>
                <w:rFonts w:hint="eastAsia" w:ascii="宋体" w:hAnsi="宋体" w:eastAsia="宋体" w:cs="宋体"/>
                <w:sz w:val="18"/>
                <w:szCs w:val="18"/>
                <w:lang w:val="en-US" w:eastAsia="zh-CN"/>
              </w:rPr>
            </w:pPr>
          </w:p>
        </w:tc>
        <w:tc>
          <w:tcPr>
            <w:tcW w:w="1683" w:type="dxa"/>
            <w:vMerge w:val="continue"/>
            <w:noWrap w:val="0"/>
            <w:vAlign w:val="top"/>
          </w:tcPr>
          <w:p>
            <w:pPr>
              <w:rPr>
                <w:rFonts w:hint="eastAsia" w:ascii="宋体" w:hAnsi="宋体" w:eastAsia="宋体" w:cs="宋体"/>
                <w:sz w:val="18"/>
                <w:szCs w:val="18"/>
                <w:lang w:val="en-US" w:eastAsia="zh-CN"/>
              </w:rPr>
            </w:pPr>
          </w:p>
        </w:tc>
        <w:tc>
          <w:tcPr>
            <w:tcW w:w="617" w:type="dxa"/>
            <w:vMerge w:val="continue"/>
            <w:noWrap w:val="0"/>
            <w:vAlign w:val="top"/>
          </w:tcPr>
          <w:p>
            <w:pPr>
              <w:rPr>
                <w:rFonts w:hint="eastAsia" w:ascii="宋体" w:hAnsi="宋体" w:eastAsia="宋体" w:cs="宋体"/>
                <w:sz w:val="18"/>
                <w:szCs w:val="18"/>
                <w:lang w:val="en-US" w:eastAsia="zh-CN"/>
              </w:rPr>
            </w:pPr>
          </w:p>
        </w:tc>
        <w:tc>
          <w:tcPr>
            <w:tcW w:w="2326"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指导市直各部门通过“互联网+监 管”系统认领省级监管事项目录清单，并梳理地方性法规对应的监管事项，汇总形成市级监管事项目录清单，动态调整并完善检查人员信息。</w:t>
            </w:r>
          </w:p>
        </w:tc>
        <w:tc>
          <w:tcPr>
            <w:tcW w:w="735"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市市场监督管理局负责</w:t>
            </w:r>
          </w:p>
        </w:tc>
        <w:tc>
          <w:tcPr>
            <w:tcW w:w="2141"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指导县级各部门通过“互联网+监 管”系统认领省级监管事项目录清单，汇总形成市级监管事项目录清单，动态调整并完善检查人员信息。</w:t>
            </w:r>
          </w:p>
        </w:tc>
        <w:tc>
          <w:tcPr>
            <w:tcW w:w="1789"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维护互联网+监管系统账号密码，指导各单位完成监管事项录入，并达成检查实施清单100%录入</w:t>
            </w:r>
          </w:p>
        </w:tc>
        <w:tc>
          <w:tcPr>
            <w:tcW w:w="1095"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维护互联网+监管系统账号密码，指导各单位完成监管事项录入，并达成检查实施清单100%录入</w:t>
            </w:r>
          </w:p>
        </w:tc>
        <w:tc>
          <w:tcPr>
            <w:tcW w:w="1147"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维护互联网+监管系统账号密码，指导各单位完成监管事项录入，并达成检查实施清单100%录入</w:t>
            </w:r>
          </w:p>
        </w:tc>
        <w:tc>
          <w:tcPr>
            <w:tcW w:w="1269" w:type="dxa"/>
            <w:noWrap w:val="0"/>
            <w:vAlign w:val="center"/>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维护互联网+监管系统账号密码，指导各单位完成监管事项录入，并达成检查实施清单100%录入</w:t>
            </w:r>
          </w:p>
        </w:tc>
        <w:tc>
          <w:tcPr>
            <w:tcW w:w="819"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县市监局</w:t>
            </w:r>
          </w:p>
        </w:tc>
        <w:tc>
          <w:tcPr>
            <w:tcW w:w="702"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李刚</w:t>
            </w:r>
          </w:p>
        </w:tc>
        <w:tc>
          <w:tcPr>
            <w:tcW w:w="1376"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办公室</w:t>
            </w:r>
          </w:p>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付景旭15662957771</w:t>
            </w:r>
          </w:p>
        </w:tc>
      </w:tr>
    </w:tbl>
    <w:p>
      <w:pPr>
        <w:rPr>
          <w:rFonts w:hint="eastAsia" w:ascii="宋体" w:hAnsi="宋体" w:eastAsia="宋体" w:cs="宋体"/>
        </w:rPr>
        <w:sectPr>
          <w:pgSz w:w="16838" w:h="11906" w:orient="landscape"/>
          <w:pgMar w:top="839" w:right="1304" w:bottom="1661" w:left="1287" w:header="851" w:footer="992" w:gutter="0"/>
          <w:pgNumType w:fmt="decimal"/>
          <w:cols w:space="720" w:num="1"/>
          <w:rtlGutter w:val="0"/>
          <w:docGrid w:type="lines" w:linePitch="312" w:charSpace="0"/>
        </w:sectPr>
      </w:pPr>
    </w:p>
    <w:p>
      <w:pPr>
        <w:rPr>
          <w:rFonts w:hint="eastAsia" w:ascii="宋体" w:hAnsi="宋体" w:eastAsia="宋体" w:cs="宋体"/>
        </w:rPr>
      </w:pPr>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034"/>
        <w:gridCol w:w="666"/>
        <w:gridCol w:w="2247"/>
        <w:gridCol w:w="737"/>
        <w:gridCol w:w="2200"/>
        <w:gridCol w:w="1116"/>
        <w:gridCol w:w="1134"/>
        <w:gridCol w:w="1200"/>
        <w:gridCol w:w="1116"/>
        <w:gridCol w:w="917"/>
        <w:gridCol w:w="973"/>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366"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2034"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66"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247"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17"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66"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034" w:type="dxa"/>
            <w:vMerge w:val="continue"/>
            <w:tcBorders>
              <w:top w:val="nil"/>
            </w:tcBorders>
            <w:noWrap w:val="0"/>
            <w:vAlign w:val="top"/>
          </w:tcPr>
          <w:p>
            <w:pPr>
              <w:rPr>
                <w:rFonts w:hint="eastAsia" w:ascii="宋体" w:hAnsi="宋体" w:eastAsia="宋体" w:cs="宋体"/>
                <w:sz w:val="18"/>
                <w:szCs w:val="18"/>
                <w:lang w:eastAsia="zh-CN"/>
              </w:rPr>
            </w:pPr>
          </w:p>
        </w:tc>
        <w:tc>
          <w:tcPr>
            <w:tcW w:w="666" w:type="dxa"/>
            <w:vMerge w:val="continue"/>
            <w:tcBorders>
              <w:top w:val="nil"/>
            </w:tcBorders>
            <w:noWrap w:val="0"/>
            <w:vAlign w:val="top"/>
          </w:tcPr>
          <w:p>
            <w:pPr>
              <w:rPr>
                <w:rFonts w:hint="eastAsia" w:ascii="宋体" w:hAnsi="宋体" w:eastAsia="宋体" w:cs="宋体"/>
                <w:sz w:val="18"/>
                <w:szCs w:val="18"/>
              </w:rPr>
            </w:pPr>
          </w:p>
        </w:tc>
        <w:tc>
          <w:tcPr>
            <w:tcW w:w="2247"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3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200"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17" w:type="dxa"/>
            <w:vMerge w:val="continue"/>
            <w:tcBorders>
              <w:top w:val="nil"/>
            </w:tcBorders>
            <w:noWrap w:val="0"/>
            <w:vAlign w:val="top"/>
          </w:tcPr>
          <w:p>
            <w:pPr>
              <w:rPr>
                <w:rFonts w:hint="eastAsia" w:ascii="宋体" w:hAnsi="宋体" w:eastAsia="宋体" w:cs="宋体"/>
                <w:sz w:val="18"/>
                <w:szCs w:val="18"/>
              </w:rPr>
            </w:pPr>
          </w:p>
        </w:tc>
        <w:tc>
          <w:tcPr>
            <w:tcW w:w="973"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366" w:type="dxa"/>
            <w:noWrap w:val="0"/>
            <w:vAlign w:val="top"/>
          </w:tcPr>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before="52" w:line="188" w:lineRule="auto"/>
              <w:ind w:left="85" w:leftChars="0"/>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17</w:t>
            </w:r>
          </w:p>
        </w:tc>
        <w:tc>
          <w:tcPr>
            <w:tcW w:w="2034"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健全服务市场主体反馈问 题解决机制。积极受理、转办营商环境问题的投诉举报，组织重点督查、专项检查、个别抽查和明察暗访，推动相关地区和部门加速解决营商环境问题，营造良好营商环境。</w:t>
            </w:r>
          </w:p>
        </w:tc>
        <w:tc>
          <w:tcPr>
            <w:tcW w:w="666"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省政数 局牵头，</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各有关</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部门及</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各市、县</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政府按</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职责分</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工负责</w:t>
            </w:r>
          </w:p>
        </w:tc>
        <w:tc>
          <w:tcPr>
            <w:tcW w:w="2247" w:type="dxa"/>
            <w:noWrap w:val="0"/>
            <w:vAlign w:val="top"/>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①持续落实《白山市营商环境建设监督管理办法》，做好营商环境问 题的受理、转办、分办、督办、办 结等工作，积极有效解决好每一个 营商环境问题。                 ②定期或不定期组织重点督察、专项检查、个别抽查和明察暗访，对问题产生不良影响的约谈相关地区和部门的负责人，向当地政府或相 关部门下发工作建议或下发警示通报。</w:t>
            </w:r>
          </w:p>
        </w:tc>
        <w:tc>
          <w:tcPr>
            <w:tcW w:w="737"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市政数 局牵头，</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各有关</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部门及</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各县(市、</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区)政府</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按职责分工负责</w:t>
            </w:r>
          </w:p>
        </w:tc>
        <w:tc>
          <w:tcPr>
            <w:tcW w:w="2200" w:type="dxa"/>
            <w:noWrap w:val="0"/>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①</w:t>
            </w:r>
            <w:r>
              <w:rPr>
                <w:rFonts w:hint="eastAsia" w:ascii="宋体" w:hAnsi="宋体" w:eastAsia="宋体" w:cs="宋体"/>
                <w:sz w:val="18"/>
                <w:szCs w:val="18"/>
                <w:lang w:val="en-US" w:eastAsia="zh-CN"/>
              </w:rPr>
              <w:t>做好营商环境投诉问题日常受理工作。及时受理各自方式的营商环境投诉问题，对受理的投诉按责转办、跟踪督办，做到事事有回音、件件有结果，</w:t>
            </w:r>
            <w:r>
              <w:rPr>
                <w:rFonts w:hint="eastAsia" w:ascii="宋体" w:hAnsi="宋体" w:eastAsia="宋体" w:cs="宋体"/>
                <w:sz w:val="18"/>
                <w:szCs w:val="18"/>
                <w:lang w:eastAsia="zh-CN"/>
              </w:rPr>
              <w:t>积极有效解决好每一个营商环境问题。</w:t>
            </w:r>
          </w:p>
          <w:p>
            <w:pPr>
              <w:rPr>
                <w:rFonts w:hint="eastAsia" w:ascii="宋体" w:hAnsi="宋体" w:eastAsia="宋体" w:cs="宋体"/>
                <w:sz w:val="18"/>
                <w:szCs w:val="18"/>
                <w:lang w:eastAsia="zh-CN"/>
              </w:rPr>
            </w:pPr>
            <w:r>
              <w:rPr>
                <w:rFonts w:hint="eastAsia" w:ascii="宋体" w:hAnsi="宋体" w:eastAsia="宋体" w:cs="宋体"/>
                <w:sz w:val="18"/>
                <w:szCs w:val="18"/>
                <w:lang w:eastAsia="zh-CN"/>
              </w:rPr>
              <w:t>②定期或不定期组织重点督察、专项检查、个别抽查和明察暗访，对问题产生不良影响的约谈相关地区和部门的负责人，向相关部门下发工作建议或下发警示通报。</w:t>
            </w:r>
          </w:p>
        </w:tc>
        <w:tc>
          <w:tcPr>
            <w:tcW w:w="1116" w:type="dxa"/>
            <w:noWrap w:val="0"/>
            <w:vAlign w:val="center"/>
          </w:tcPr>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持续做好全县破坏营商环境问题投诉、受理、办理工作，推动涉及的部门解决营商环境问题，进一步解决企业合法权益。</w:t>
            </w:r>
          </w:p>
        </w:tc>
        <w:tc>
          <w:tcPr>
            <w:tcW w:w="1134" w:type="dxa"/>
            <w:noWrap w:val="0"/>
            <w:vAlign w:val="center"/>
          </w:tcPr>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持续对全县政务服务场所、公共服务场所进行明察暗访，发现问题责令整改，进一步提升政务服务和公共服务行业服务水平和能力。</w:t>
            </w:r>
          </w:p>
        </w:tc>
        <w:tc>
          <w:tcPr>
            <w:tcW w:w="1200" w:type="dxa"/>
            <w:noWrap w:val="0"/>
            <w:vAlign w:val="center"/>
          </w:tcPr>
          <w:p>
            <w:p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通过自查自纠、明察暗访等方式，对存在的营商环境问题进行摸底排查，对发现的问题跟踪落实整改。</w:t>
            </w:r>
          </w:p>
        </w:tc>
        <w:tc>
          <w:tcPr>
            <w:tcW w:w="1116" w:type="dxa"/>
            <w:noWrap w:val="0"/>
            <w:vAlign w:val="center"/>
          </w:tcPr>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eastAsia="zh-CN"/>
              </w:rPr>
            </w:pP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对全县市场主体反映的营商环境问题进行梳理总结，对未办结的进行督查督办，确保年底办结率和满意率达到</w:t>
            </w:r>
            <w:r>
              <w:rPr>
                <w:rFonts w:hint="eastAsia" w:ascii="宋体" w:hAnsi="宋体" w:eastAsia="宋体" w:cs="宋体"/>
                <w:sz w:val="18"/>
                <w:szCs w:val="18"/>
                <w:lang w:val="en-US" w:eastAsia="zh-CN"/>
              </w:rPr>
              <w:t>100%。</w:t>
            </w:r>
          </w:p>
        </w:tc>
        <w:tc>
          <w:tcPr>
            <w:tcW w:w="917" w:type="dxa"/>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县政数局</w:t>
            </w:r>
          </w:p>
        </w:tc>
        <w:tc>
          <w:tcPr>
            <w:tcW w:w="973" w:type="dxa"/>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谢洪金</w:t>
            </w:r>
          </w:p>
        </w:tc>
        <w:tc>
          <w:tcPr>
            <w:tcW w:w="1126" w:type="dxa"/>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营商环境</w:t>
            </w: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督察服务科</w:t>
            </w:r>
          </w:p>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朴智</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18904492230</w:t>
            </w: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034"/>
        <w:gridCol w:w="666"/>
        <w:gridCol w:w="2247"/>
        <w:gridCol w:w="737"/>
        <w:gridCol w:w="2200"/>
        <w:gridCol w:w="1116"/>
        <w:gridCol w:w="1134"/>
        <w:gridCol w:w="1200"/>
        <w:gridCol w:w="1116"/>
        <w:gridCol w:w="917"/>
        <w:gridCol w:w="973"/>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366"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2034"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66"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247"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17"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66"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034" w:type="dxa"/>
            <w:vMerge w:val="continue"/>
            <w:tcBorders>
              <w:top w:val="nil"/>
            </w:tcBorders>
            <w:noWrap w:val="0"/>
            <w:vAlign w:val="top"/>
          </w:tcPr>
          <w:p>
            <w:pPr>
              <w:rPr>
                <w:rFonts w:hint="eastAsia" w:ascii="宋体" w:hAnsi="宋体" w:eastAsia="宋体" w:cs="宋体"/>
                <w:sz w:val="18"/>
                <w:szCs w:val="18"/>
                <w:lang w:eastAsia="zh-CN"/>
              </w:rPr>
            </w:pPr>
          </w:p>
        </w:tc>
        <w:tc>
          <w:tcPr>
            <w:tcW w:w="666" w:type="dxa"/>
            <w:vMerge w:val="continue"/>
            <w:tcBorders>
              <w:top w:val="nil"/>
            </w:tcBorders>
            <w:noWrap w:val="0"/>
            <w:vAlign w:val="top"/>
          </w:tcPr>
          <w:p>
            <w:pPr>
              <w:rPr>
                <w:rFonts w:hint="eastAsia" w:ascii="宋体" w:hAnsi="宋体" w:eastAsia="宋体" w:cs="宋体"/>
                <w:sz w:val="18"/>
                <w:szCs w:val="18"/>
              </w:rPr>
            </w:pPr>
          </w:p>
        </w:tc>
        <w:tc>
          <w:tcPr>
            <w:tcW w:w="2247"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3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2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17" w:type="dxa"/>
            <w:vMerge w:val="continue"/>
            <w:tcBorders>
              <w:top w:val="nil"/>
            </w:tcBorders>
            <w:noWrap w:val="0"/>
            <w:vAlign w:val="top"/>
          </w:tcPr>
          <w:p>
            <w:pPr>
              <w:rPr>
                <w:rFonts w:hint="eastAsia" w:ascii="宋体" w:hAnsi="宋体" w:eastAsia="宋体" w:cs="宋体"/>
                <w:sz w:val="18"/>
                <w:szCs w:val="18"/>
              </w:rPr>
            </w:pPr>
          </w:p>
        </w:tc>
        <w:tc>
          <w:tcPr>
            <w:tcW w:w="973"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0" w:hRule="atLeast"/>
        </w:trPr>
        <w:tc>
          <w:tcPr>
            <w:tcW w:w="366" w:type="dxa"/>
            <w:noWrap w:val="0"/>
            <w:vAlign w:val="top"/>
          </w:tcPr>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eastAsia" w:ascii="宋体" w:hAnsi="宋体" w:eastAsia="宋体" w:cs="宋体"/>
                <w:spacing w:val="-1"/>
                <w:sz w:val="18"/>
                <w:szCs w:val="18"/>
                <w:lang w:val="en-US" w:eastAsia="zh-CN"/>
              </w:rPr>
            </w:pPr>
          </w:p>
          <w:p>
            <w:pPr>
              <w:spacing w:before="52" w:line="188" w:lineRule="auto"/>
              <w:ind w:left="85" w:leftChars="0"/>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18</w:t>
            </w:r>
          </w:p>
        </w:tc>
        <w:tc>
          <w:tcPr>
            <w:tcW w:w="2034" w:type="dxa"/>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持续推进政务公开质量提 升。围绕贯彻落实市委经济工作会议精神、市政府工作报告等重点工作任务，聚焦社会关注度高、与群众生产 生活关系密切的政务服务、 城市建设等领域，广泛发动 县 (市、区) 及市直相关部 门开展“政府开放日”活动，通过亲身体验了解城市运行、服务、管理等各项机制，进一步增进政府与公众之 间的沟通联系，提高广大民众对政府工作的满意度。</w:t>
            </w:r>
          </w:p>
        </w:tc>
        <w:tc>
          <w:tcPr>
            <w:tcW w:w="666" w:type="dxa"/>
            <w:noWrap w:val="0"/>
            <w:vAlign w:val="top"/>
          </w:tcPr>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市级创 新工作</w:t>
            </w:r>
          </w:p>
        </w:tc>
        <w:tc>
          <w:tcPr>
            <w:tcW w:w="2247" w:type="dxa"/>
            <w:noWrap w:val="0"/>
            <w:vAlign w:val="top"/>
          </w:tcPr>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①制定印发《白山市“政府开放日” 系列活动实施方案》，邀请市区“两代表一委员” 、重点企业、媒体及群众代表等，深入市区政务大厅、 “长白山红色孵化基地”等地进行参观考察并座谈交流。</w:t>
            </w: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 ②广泛发动市直相关部门开展“政府开放日”活动，各部门围绕自身重点工作和群众关心的热点内容，全方位展现便民利企举措、开展政务公开等工作情况。               ③强化宣传推介，全市各级各部门开展开放日活动均邀请主流媒体进行报道，并利用政府网站、政务新媒体同步挂网宣传，营造全社会知晓、全社会评价、全社会参与的活动氛围。</w:t>
            </w:r>
          </w:p>
        </w:tc>
        <w:tc>
          <w:tcPr>
            <w:tcW w:w="737" w:type="dxa"/>
            <w:noWrap w:val="0"/>
            <w:vAlign w:val="center"/>
          </w:tcPr>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市政数 局牵头，</w:t>
            </w: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各有关</w:t>
            </w: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部门及</w:t>
            </w: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各县(市、</w:t>
            </w: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区)政府</w:t>
            </w:r>
          </w:p>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按职责分工负责</w:t>
            </w:r>
          </w:p>
        </w:tc>
        <w:tc>
          <w:tcPr>
            <w:tcW w:w="2200" w:type="dxa"/>
            <w:noWrap w:val="0"/>
            <w:vAlign w:val="center"/>
          </w:tcPr>
          <w:p>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制定印发《</w:t>
            </w:r>
            <w:r>
              <w:rPr>
                <w:rFonts w:hint="eastAsia" w:ascii="宋体" w:hAnsi="宋体" w:eastAsia="宋体" w:cs="宋体"/>
                <w:color w:val="auto"/>
                <w:sz w:val="18"/>
                <w:szCs w:val="18"/>
                <w:lang w:val="en-US" w:eastAsia="zh-CN"/>
              </w:rPr>
              <w:t>靖宇县2023年度</w:t>
            </w:r>
            <w:r>
              <w:rPr>
                <w:rFonts w:hint="eastAsia" w:ascii="宋体" w:hAnsi="宋体" w:eastAsia="宋体" w:cs="宋体"/>
                <w:color w:val="auto"/>
                <w:sz w:val="18"/>
                <w:szCs w:val="18"/>
                <w:lang w:eastAsia="zh-CN"/>
              </w:rPr>
              <w:t>“政府开放日”活动实施方案》，广泛发动</w:t>
            </w:r>
            <w:r>
              <w:rPr>
                <w:rFonts w:hint="eastAsia" w:ascii="宋体" w:hAnsi="宋体" w:eastAsia="宋体" w:cs="宋体"/>
                <w:color w:val="auto"/>
                <w:sz w:val="18"/>
                <w:szCs w:val="18"/>
                <w:lang w:val="en-US" w:eastAsia="zh-CN"/>
              </w:rPr>
              <w:t>各</w:t>
            </w:r>
            <w:r>
              <w:rPr>
                <w:rFonts w:hint="eastAsia" w:ascii="宋体" w:hAnsi="宋体" w:eastAsia="宋体" w:cs="宋体"/>
                <w:color w:val="auto"/>
                <w:sz w:val="18"/>
                <w:szCs w:val="18"/>
                <w:lang w:eastAsia="zh-CN"/>
              </w:rPr>
              <w:t>相关部门围绕自身重点工作和群众关心的热点内容</w:t>
            </w:r>
            <w:r>
              <w:rPr>
                <w:rFonts w:hint="eastAsia" w:ascii="宋体" w:hAnsi="宋体" w:eastAsia="宋体" w:cs="宋体"/>
                <w:color w:val="auto"/>
                <w:sz w:val="18"/>
                <w:szCs w:val="18"/>
                <w:lang w:val="en-US" w:eastAsia="zh-CN"/>
              </w:rPr>
              <w:t>开</w:t>
            </w:r>
            <w:r>
              <w:rPr>
                <w:rFonts w:hint="eastAsia" w:ascii="宋体" w:hAnsi="宋体" w:eastAsia="宋体" w:cs="宋体"/>
                <w:color w:val="auto"/>
                <w:sz w:val="18"/>
                <w:szCs w:val="18"/>
                <w:lang w:eastAsia="zh-CN"/>
              </w:rPr>
              <w:t>展“政府开放日”活动。</w:t>
            </w:r>
          </w:p>
          <w:p>
            <w:pPr>
              <w:rPr>
                <w:rFonts w:hint="eastAsia" w:ascii="宋体" w:hAnsi="宋体" w:eastAsia="宋体" w:cs="宋体"/>
                <w:snapToGrid w:val="0"/>
                <w:color w:val="auto"/>
                <w:kern w:val="0"/>
                <w:sz w:val="18"/>
                <w:szCs w:val="18"/>
                <w:lang w:eastAsia="zh-CN"/>
              </w:rPr>
            </w:pPr>
          </w:p>
        </w:tc>
        <w:tc>
          <w:tcPr>
            <w:tcW w:w="1116" w:type="dxa"/>
            <w:noWrap w:val="0"/>
            <w:vAlign w:val="center"/>
          </w:tcPr>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发动靖宇县市场监督管理局、靖宇县水利局利用国际消费者权益保护日、世界水日中国水周为契机，开展“政府开放日”活动。</w:t>
            </w:r>
          </w:p>
          <w:p>
            <w:pPr>
              <w:jc w:val="both"/>
              <w:rPr>
                <w:rFonts w:hint="eastAsia" w:ascii="宋体" w:hAnsi="宋体" w:eastAsia="宋体" w:cs="宋体"/>
                <w:snapToGrid w:val="0"/>
                <w:color w:val="auto"/>
                <w:kern w:val="0"/>
                <w:sz w:val="18"/>
                <w:szCs w:val="18"/>
                <w:lang w:val="en-US" w:eastAsia="zh-CN"/>
              </w:rPr>
            </w:pPr>
          </w:p>
        </w:tc>
        <w:tc>
          <w:tcPr>
            <w:tcW w:w="1134" w:type="dxa"/>
            <w:noWrap w:val="0"/>
            <w:vAlign w:val="center"/>
          </w:tcPr>
          <w:p>
            <w:p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①制定印发《靖宇县2023年度“政府开放日”活动实施方案》。②面向各相关部门征集“政府开放日”系列活动主题。</w:t>
            </w:r>
          </w:p>
          <w:p>
            <w:pPr>
              <w:jc w:val="both"/>
              <w:rPr>
                <w:rFonts w:hint="eastAsia" w:ascii="宋体" w:hAnsi="宋体" w:eastAsia="宋体" w:cs="宋体"/>
                <w:snapToGrid w:val="0"/>
                <w:color w:val="auto"/>
                <w:kern w:val="0"/>
                <w:sz w:val="18"/>
                <w:szCs w:val="18"/>
                <w:lang w:val="en-US" w:eastAsia="zh-CN"/>
              </w:rPr>
            </w:pPr>
          </w:p>
        </w:tc>
        <w:tc>
          <w:tcPr>
            <w:tcW w:w="1200" w:type="dxa"/>
            <w:noWrap w:val="0"/>
            <w:vAlign w:val="center"/>
          </w:tcPr>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snapToGrid w:val="0"/>
                <w:color w:val="auto"/>
                <w:kern w:val="0"/>
                <w:sz w:val="18"/>
                <w:szCs w:val="18"/>
                <w:lang w:val="en-US" w:eastAsia="zh-CN"/>
              </w:rPr>
            </w:pPr>
            <w:r>
              <w:rPr>
                <w:rFonts w:hint="eastAsia" w:ascii="宋体" w:hAnsi="宋体" w:eastAsia="宋体" w:cs="宋体"/>
                <w:color w:val="auto"/>
                <w:sz w:val="18"/>
                <w:szCs w:val="18"/>
                <w:lang w:val="en-US" w:eastAsia="zh-CN"/>
              </w:rPr>
              <w:t xml:space="preserve">统筹组织协调 各相关部门，开展“政府开放日”系列活动。同时邀请主流媒体对活动进行跟踪报道，并利用政府网站、 政务新媒体同步挂网宣传，营造良好活动氛围。 </w:t>
            </w:r>
          </w:p>
        </w:tc>
        <w:tc>
          <w:tcPr>
            <w:tcW w:w="1116" w:type="dxa"/>
            <w:noWrap w:val="0"/>
            <w:vAlign w:val="center"/>
          </w:tcPr>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color w:val="auto"/>
                <w:sz w:val="18"/>
                <w:szCs w:val="18"/>
                <w:lang w:val="en-US" w:eastAsia="zh-CN"/>
              </w:rPr>
            </w:pPr>
          </w:p>
          <w:p>
            <w:pPr>
              <w:jc w:val="both"/>
              <w:rPr>
                <w:rFonts w:hint="eastAsia" w:ascii="宋体" w:hAnsi="宋体" w:eastAsia="宋体" w:cs="宋体"/>
                <w:snapToGrid w:val="0"/>
                <w:color w:val="auto"/>
                <w:kern w:val="0"/>
                <w:sz w:val="18"/>
                <w:szCs w:val="18"/>
                <w:lang w:val="en-US" w:eastAsia="zh-CN"/>
              </w:rPr>
            </w:pPr>
            <w:r>
              <w:rPr>
                <w:rFonts w:hint="eastAsia" w:ascii="宋体" w:hAnsi="宋体" w:eastAsia="宋体" w:cs="宋体"/>
                <w:color w:val="auto"/>
                <w:sz w:val="18"/>
                <w:szCs w:val="18"/>
                <w:lang w:val="en-US" w:eastAsia="zh-CN"/>
              </w:rPr>
              <w:t xml:space="preserve">统筹组织协调 各相关部门，开展“政府开放日”系列活动。同时邀请主流媒体对活动进行跟踪报道，并利用政府网站、 政务新媒体同步挂网宣传，营造良好活动氛围。 </w:t>
            </w:r>
          </w:p>
        </w:tc>
        <w:tc>
          <w:tcPr>
            <w:tcW w:w="917" w:type="dxa"/>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县政数局牵头，各有关部门按职责分工负责</w:t>
            </w:r>
          </w:p>
          <w:p>
            <w:pPr>
              <w:jc w:val="center"/>
              <w:rPr>
                <w:rFonts w:hint="eastAsia" w:ascii="宋体" w:hAnsi="宋体" w:eastAsia="宋体" w:cs="宋体"/>
                <w:snapToGrid w:val="0"/>
                <w:color w:val="auto"/>
                <w:kern w:val="0"/>
                <w:sz w:val="18"/>
                <w:szCs w:val="18"/>
                <w:lang w:val="en-US" w:eastAsia="zh-CN"/>
              </w:rPr>
            </w:pPr>
          </w:p>
        </w:tc>
        <w:tc>
          <w:tcPr>
            <w:tcW w:w="973" w:type="dxa"/>
            <w:noWrap w:val="0"/>
            <w:vAlign w:val="center"/>
          </w:tcPr>
          <w:p>
            <w:pPr>
              <w:jc w:val="center"/>
              <w:rPr>
                <w:rFonts w:hint="eastAsia" w:ascii="宋体" w:hAnsi="宋体" w:eastAsia="宋体" w:cs="宋体"/>
                <w:snapToGrid w:val="0"/>
                <w:color w:val="auto"/>
                <w:kern w:val="0"/>
                <w:sz w:val="18"/>
                <w:szCs w:val="18"/>
                <w:lang w:val="en-US" w:eastAsia="zh-CN"/>
              </w:rPr>
            </w:pPr>
            <w:r>
              <w:rPr>
                <w:rFonts w:hint="eastAsia" w:ascii="宋体" w:hAnsi="宋体" w:eastAsia="宋体" w:cs="宋体"/>
                <w:color w:val="auto"/>
                <w:sz w:val="18"/>
                <w:szCs w:val="18"/>
                <w:lang w:val="en-US" w:eastAsia="zh-CN"/>
              </w:rPr>
              <w:t>张铁钧</w:t>
            </w:r>
          </w:p>
        </w:tc>
        <w:tc>
          <w:tcPr>
            <w:tcW w:w="1126" w:type="dxa"/>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政务公开</w:t>
            </w:r>
          </w:p>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指导科</w:t>
            </w:r>
          </w:p>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郭俊红 13894077677</w:t>
            </w:r>
          </w:p>
          <w:p>
            <w:pPr>
              <w:jc w:val="center"/>
              <w:rPr>
                <w:rFonts w:hint="eastAsia" w:ascii="宋体" w:hAnsi="宋体" w:eastAsia="宋体" w:cs="宋体"/>
                <w:snapToGrid w:val="0"/>
                <w:color w:val="auto"/>
                <w:kern w:val="0"/>
                <w:sz w:val="18"/>
                <w:szCs w:val="18"/>
                <w:lang w:val="en-US" w:eastAsia="zh-CN"/>
              </w:rPr>
            </w:pP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034"/>
        <w:gridCol w:w="666"/>
        <w:gridCol w:w="2247"/>
        <w:gridCol w:w="737"/>
        <w:gridCol w:w="2200"/>
        <w:gridCol w:w="1116"/>
        <w:gridCol w:w="1134"/>
        <w:gridCol w:w="1200"/>
        <w:gridCol w:w="1116"/>
        <w:gridCol w:w="917"/>
        <w:gridCol w:w="973"/>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366"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2034"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66"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247"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17"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66"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034" w:type="dxa"/>
            <w:vMerge w:val="continue"/>
            <w:tcBorders>
              <w:top w:val="nil"/>
            </w:tcBorders>
            <w:noWrap w:val="0"/>
            <w:vAlign w:val="top"/>
          </w:tcPr>
          <w:p>
            <w:pPr>
              <w:rPr>
                <w:rFonts w:hint="eastAsia" w:ascii="宋体" w:hAnsi="宋体" w:eastAsia="宋体" w:cs="宋体"/>
                <w:sz w:val="18"/>
                <w:szCs w:val="18"/>
                <w:lang w:eastAsia="zh-CN"/>
              </w:rPr>
            </w:pPr>
          </w:p>
        </w:tc>
        <w:tc>
          <w:tcPr>
            <w:tcW w:w="666" w:type="dxa"/>
            <w:vMerge w:val="continue"/>
            <w:tcBorders>
              <w:top w:val="nil"/>
            </w:tcBorders>
            <w:noWrap w:val="0"/>
            <w:vAlign w:val="top"/>
          </w:tcPr>
          <w:p>
            <w:pPr>
              <w:rPr>
                <w:rFonts w:hint="eastAsia" w:ascii="宋体" w:hAnsi="宋体" w:eastAsia="宋体" w:cs="宋体"/>
                <w:sz w:val="18"/>
                <w:szCs w:val="18"/>
              </w:rPr>
            </w:pPr>
          </w:p>
        </w:tc>
        <w:tc>
          <w:tcPr>
            <w:tcW w:w="2247"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3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2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17" w:type="dxa"/>
            <w:vMerge w:val="continue"/>
            <w:tcBorders>
              <w:top w:val="nil"/>
            </w:tcBorders>
            <w:noWrap w:val="0"/>
            <w:vAlign w:val="top"/>
          </w:tcPr>
          <w:p>
            <w:pPr>
              <w:rPr>
                <w:rFonts w:hint="eastAsia" w:ascii="宋体" w:hAnsi="宋体" w:eastAsia="宋体" w:cs="宋体"/>
                <w:sz w:val="18"/>
                <w:szCs w:val="18"/>
              </w:rPr>
            </w:pPr>
          </w:p>
        </w:tc>
        <w:tc>
          <w:tcPr>
            <w:tcW w:w="973"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7" w:hRule="atLeast"/>
        </w:trPr>
        <w:tc>
          <w:tcPr>
            <w:tcW w:w="366"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2034"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持续提升政务服务便民热 线知识库应用能力。持续发挥12345热线平台资源优势，进一步推动落实“询诉帮办”工作机制，通过丰富热线知识库便民利企知识点，不断提高受话人员工作能力，及时解答企业、群众提出的咨询类问题。</w:t>
            </w:r>
          </w:p>
        </w:tc>
        <w:tc>
          <w:tcPr>
            <w:tcW w:w="666"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市级创 新工作</w:t>
            </w:r>
          </w:p>
        </w:tc>
        <w:tc>
          <w:tcPr>
            <w:tcW w:w="2247"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①印发《关于完善政务服务便民热线知识库内容的通知》，组织各承办单位完善录入知识库信息，不断丰富知识库储备。               ②协调相关承办单位业务骨干，对受话人员开展专业培训，不断提升话务人员解答能力。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③依托完善的知识库内容，及时接 听企业、群众提出的诉求问题，有效降低群众诉求办理等待时长。</w:t>
            </w:r>
          </w:p>
        </w:tc>
        <w:tc>
          <w:tcPr>
            <w:tcW w:w="737" w:type="dxa"/>
            <w:noWrap w:val="0"/>
            <w:vAlign w:val="center"/>
          </w:tcPr>
          <w:p>
            <w:pPr>
              <w:rPr>
                <w:rFonts w:hint="eastAsia" w:ascii="宋体" w:hAnsi="宋体" w:eastAsia="宋体" w:cs="宋体"/>
                <w:sz w:val="18"/>
                <w:szCs w:val="18"/>
                <w:lang w:val="en-US" w:eastAsia="zh-CN"/>
              </w:rPr>
            </w:pPr>
            <w:r>
              <w:rPr>
                <w:rFonts w:hint="eastAsia" w:ascii="宋体" w:hAnsi="宋体" w:eastAsia="宋体" w:cs="宋体"/>
                <w:spacing w:val="-6"/>
                <w:sz w:val="18"/>
                <w:szCs w:val="18"/>
              </w:rPr>
              <w:t>市</w:t>
            </w:r>
            <w:r>
              <w:rPr>
                <w:rFonts w:hint="eastAsia" w:ascii="宋体" w:hAnsi="宋体" w:eastAsia="宋体" w:cs="宋体"/>
                <w:spacing w:val="-3"/>
                <w:sz w:val="18"/>
                <w:szCs w:val="18"/>
              </w:rPr>
              <w:t>政数</w:t>
            </w:r>
            <w:r>
              <w:rPr>
                <w:rFonts w:hint="eastAsia" w:ascii="宋体" w:hAnsi="宋体" w:eastAsia="宋体" w:cs="宋体"/>
                <w:sz w:val="18"/>
                <w:szCs w:val="18"/>
              </w:rPr>
              <w:t xml:space="preserve"> </w:t>
            </w:r>
            <w:r>
              <w:rPr>
                <w:rFonts w:hint="eastAsia" w:ascii="宋体" w:hAnsi="宋体" w:eastAsia="宋体" w:cs="宋体"/>
                <w:spacing w:val="-13"/>
                <w:sz w:val="18"/>
                <w:szCs w:val="18"/>
              </w:rPr>
              <w:t>局</w:t>
            </w:r>
            <w:r>
              <w:rPr>
                <w:rFonts w:hint="eastAsia" w:ascii="宋体" w:hAnsi="宋体" w:eastAsia="宋体" w:cs="宋体"/>
                <w:spacing w:val="-12"/>
                <w:sz w:val="18"/>
                <w:szCs w:val="18"/>
              </w:rPr>
              <w:t>牵头，</w:t>
            </w:r>
            <w:r>
              <w:rPr>
                <w:rFonts w:hint="eastAsia" w:ascii="宋体" w:hAnsi="宋体" w:eastAsia="宋体" w:cs="宋体"/>
                <w:sz w:val="18"/>
                <w:szCs w:val="18"/>
              </w:rPr>
              <w:t xml:space="preserve"> </w:t>
            </w:r>
            <w:r>
              <w:rPr>
                <w:rFonts w:hint="eastAsia" w:ascii="宋体" w:hAnsi="宋体" w:eastAsia="宋体" w:cs="宋体"/>
                <w:spacing w:val="20"/>
                <w:sz w:val="18"/>
                <w:szCs w:val="18"/>
              </w:rPr>
              <w:t>各</w:t>
            </w:r>
            <w:r>
              <w:rPr>
                <w:rFonts w:hint="eastAsia" w:ascii="宋体" w:hAnsi="宋体" w:eastAsia="宋体" w:cs="宋体"/>
                <w:spacing w:val="19"/>
                <w:sz w:val="18"/>
                <w:szCs w:val="18"/>
              </w:rPr>
              <w:t>有关</w:t>
            </w:r>
            <w:r>
              <w:rPr>
                <w:rFonts w:hint="eastAsia" w:ascii="宋体" w:hAnsi="宋体" w:eastAsia="宋体" w:cs="宋体"/>
                <w:sz w:val="18"/>
                <w:szCs w:val="18"/>
              </w:rPr>
              <w:t xml:space="preserve"> </w:t>
            </w:r>
            <w:r>
              <w:rPr>
                <w:rFonts w:hint="eastAsia" w:ascii="宋体" w:hAnsi="宋体" w:eastAsia="宋体" w:cs="宋体"/>
                <w:spacing w:val="20"/>
                <w:sz w:val="18"/>
                <w:szCs w:val="18"/>
              </w:rPr>
              <w:t>部</w:t>
            </w:r>
            <w:r>
              <w:rPr>
                <w:rFonts w:hint="eastAsia" w:ascii="宋体" w:hAnsi="宋体" w:eastAsia="宋体" w:cs="宋体"/>
                <w:spacing w:val="19"/>
                <w:sz w:val="18"/>
                <w:szCs w:val="18"/>
              </w:rPr>
              <w:t>门按</w:t>
            </w:r>
            <w:r>
              <w:rPr>
                <w:rFonts w:hint="eastAsia" w:ascii="宋体" w:hAnsi="宋体" w:eastAsia="宋体" w:cs="宋体"/>
                <w:sz w:val="18"/>
                <w:szCs w:val="18"/>
              </w:rPr>
              <w:t xml:space="preserve"> </w:t>
            </w:r>
            <w:r>
              <w:rPr>
                <w:rFonts w:hint="eastAsia" w:ascii="宋体" w:hAnsi="宋体" w:eastAsia="宋体" w:cs="宋体"/>
                <w:spacing w:val="20"/>
                <w:sz w:val="18"/>
                <w:szCs w:val="18"/>
              </w:rPr>
              <w:t>职</w:t>
            </w:r>
            <w:r>
              <w:rPr>
                <w:rFonts w:hint="eastAsia" w:ascii="宋体" w:hAnsi="宋体" w:eastAsia="宋体" w:cs="宋体"/>
                <w:spacing w:val="19"/>
                <w:sz w:val="18"/>
                <w:szCs w:val="18"/>
              </w:rPr>
              <w:t>责分</w:t>
            </w:r>
            <w:r>
              <w:rPr>
                <w:rFonts w:hint="eastAsia" w:ascii="宋体" w:hAnsi="宋体" w:eastAsia="宋体" w:cs="宋体"/>
                <w:sz w:val="18"/>
                <w:szCs w:val="18"/>
              </w:rPr>
              <w:t xml:space="preserve"> </w:t>
            </w:r>
            <w:r>
              <w:rPr>
                <w:rFonts w:hint="eastAsia" w:ascii="宋体" w:hAnsi="宋体" w:eastAsia="宋体" w:cs="宋体"/>
                <w:spacing w:val="-2"/>
                <w:sz w:val="18"/>
                <w:szCs w:val="18"/>
              </w:rPr>
              <w:t>工负责</w:t>
            </w:r>
          </w:p>
        </w:tc>
        <w:tc>
          <w:tcPr>
            <w:tcW w:w="2200" w:type="dxa"/>
            <w:noWrap w:val="0"/>
            <w:vAlign w:val="center"/>
          </w:tcPr>
          <w:p>
            <w:pPr>
              <w:jc w:val="left"/>
              <w:rPr>
                <w:rFonts w:hint="eastAsia" w:ascii="宋体" w:hAnsi="宋体" w:eastAsia="宋体" w:cs="宋体"/>
                <w:snapToGrid w:val="0"/>
                <w:color w:val="000000"/>
                <w:kern w:val="0"/>
                <w:sz w:val="18"/>
                <w:szCs w:val="18"/>
                <w:lang w:eastAsia="zh-CN"/>
              </w:rPr>
            </w:pPr>
            <w:r>
              <w:rPr>
                <w:rFonts w:hint="eastAsia" w:ascii="宋体" w:hAnsi="宋体" w:eastAsia="宋体" w:cs="宋体"/>
                <w:sz w:val="18"/>
                <w:szCs w:val="18"/>
                <w:lang w:val="en-US" w:eastAsia="zh-CN"/>
              </w:rPr>
              <w:t>转发</w:t>
            </w:r>
            <w:r>
              <w:rPr>
                <w:rFonts w:hint="eastAsia" w:ascii="宋体" w:hAnsi="宋体" w:eastAsia="宋体" w:cs="宋体"/>
                <w:sz w:val="18"/>
                <w:szCs w:val="18"/>
                <w:lang w:eastAsia="zh-CN"/>
              </w:rPr>
              <w:t>《关于完善政务服务便民热线知识库内容的通知》，组织各承办单位完善录入知识库信息，不断丰富知识库储备。</w:t>
            </w:r>
          </w:p>
        </w:tc>
        <w:tc>
          <w:tcPr>
            <w:tcW w:w="1116" w:type="dxa"/>
            <w:noWrap w:val="0"/>
            <w:vAlign w:val="center"/>
          </w:tcPr>
          <w:p>
            <w:pPr>
              <w:jc w:val="left"/>
              <w:rPr>
                <w:rFonts w:hint="eastAsia" w:ascii="宋体" w:hAnsi="宋体" w:eastAsia="宋体" w:cs="宋体"/>
                <w:snapToGrid w:val="0"/>
                <w:color w:val="000000"/>
                <w:kern w:val="0"/>
                <w:sz w:val="18"/>
                <w:szCs w:val="18"/>
              </w:rPr>
            </w:pPr>
            <w:r>
              <w:rPr>
                <w:rFonts w:hint="eastAsia" w:ascii="宋体" w:hAnsi="宋体" w:eastAsia="宋体" w:cs="宋体"/>
                <w:sz w:val="18"/>
                <w:szCs w:val="18"/>
                <w:lang w:val="en-US" w:eastAsia="zh-CN"/>
              </w:rPr>
              <w:t>转发</w:t>
            </w:r>
            <w:r>
              <w:rPr>
                <w:rFonts w:hint="eastAsia" w:ascii="宋体" w:hAnsi="宋体" w:eastAsia="宋体" w:cs="宋体"/>
                <w:sz w:val="18"/>
                <w:szCs w:val="18"/>
                <w:lang w:eastAsia="zh-CN"/>
              </w:rPr>
              <w:t>《关于完善政务服务便民热线知识库内容的通知》</w:t>
            </w:r>
          </w:p>
        </w:tc>
        <w:tc>
          <w:tcPr>
            <w:tcW w:w="1134" w:type="dxa"/>
            <w:noWrap w:val="0"/>
            <w:vAlign w:val="center"/>
          </w:tcPr>
          <w:p>
            <w:pPr>
              <w:jc w:val="left"/>
              <w:rPr>
                <w:rFonts w:hint="eastAsia" w:ascii="宋体" w:hAnsi="宋体" w:eastAsia="宋体" w:cs="宋体"/>
                <w:snapToGrid w:val="0"/>
                <w:color w:val="000000"/>
                <w:kern w:val="0"/>
                <w:sz w:val="18"/>
                <w:szCs w:val="18"/>
                <w:lang w:val="en-US"/>
              </w:rPr>
            </w:pPr>
            <w:r>
              <w:rPr>
                <w:rFonts w:hint="eastAsia" w:ascii="宋体" w:hAnsi="宋体" w:eastAsia="宋体" w:cs="宋体"/>
                <w:sz w:val="18"/>
                <w:szCs w:val="18"/>
                <w:lang w:eastAsia="zh-CN"/>
              </w:rPr>
              <w:t>组织各承办单位完善录入知识库信息，</w:t>
            </w:r>
            <w:r>
              <w:rPr>
                <w:rFonts w:hint="eastAsia" w:ascii="宋体" w:hAnsi="宋体" w:eastAsia="宋体" w:cs="宋体"/>
                <w:sz w:val="18"/>
                <w:szCs w:val="18"/>
                <w:lang w:val="en-US" w:eastAsia="zh-CN"/>
              </w:rPr>
              <w:t>并及时进行业务指导。</w:t>
            </w:r>
          </w:p>
        </w:tc>
        <w:tc>
          <w:tcPr>
            <w:tcW w:w="1200" w:type="dxa"/>
            <w:noWrap w:val="0"/>
            <w:vAlign w:val="center"/>
          </w:tcPr>
          <w:p>
            <w:pPr>
              <w:jc w:val="left"/>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对录入信息进行维护，持续更新完善知识库内容。</w:t>
            </w:r>
          </w:p>
        </w:tc>
        <w:tc>
          <w:tcPr>
            <w:tcW w:w="1116" w:type="dxa"/>
            <w:noWrap w:val="0"/>
            <w:vAlign w:val="center"/>
          </w:tcPr>
          <w:p>
            <w:pPr>
              <w:jc w:val="left"/>
              <w:rPr>
                <w:rFonts w:hint="eastAsia" w:ascii="宋体" w:hAnsi="宋体" w:eastAsia="宋体" w:cs="宋体"/>
                <w:snapToGrid w:val="0"/>
                <w:color w:val="000000"/>
                <w:kern w:val="0"/>
                <w:sz w:val="18"/>
                <w:szCs w:val="18"/>
              </w:rPr>
            </w:pPr>
            <w:r>
              <w:rPr>
                <w:rFonts w:hint="eastAsia" w:ascii="宋体" w:hAnsi="宋体" w:eastAsia="宋体" w:cs="宋体"/>
                <w:sz w:val="18"/>
                <w:szCs w:val="18"/>
                <w:lang w:val="en-US" w:eastAsia="zh-CN"/>
              </w:rPr>
              <w:t>对录入信息进行维护，持续更新完善知识库内容。</w:t>
            </w:r>
          </w:p>
        </w:tc>
        <w:tc>
          <w:tcPr>
            <w:tcW w:w="917" w:type="dxa"/>
            <w:noWrap w:val="0"/>
            <w:vAlign w:val="center"/>
          </w:tcPr>
          <w:p>
            <w:pPr>
              <w:jc w:val="both"/>
              <w:rPr>
                <w:rFonts w:hint="eastAsia" w:ascii="宋体" w:hAnsi="宋体" w:eastAsia="宋体" w:cs="宋体"/>
                <w:sz w:val="18"/>
                <w:szCs w:val="18"/>
              </w:rPr>
            </w:pP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政府办公室</w:t>
            </w:r>
          </w:p>
          <w:p>
            <w:pPr>
              <w:jc w:val="both"/>
              <w:rPr>
                <w:rFonts w:hint="eastAsia" w:ascii="宋体" w:hAnsi="宋体" w:eastAsia="宋体" w:cs="宋体"/>
                <w:sz w:val="18"/>
                <w:szCs w:val="18"/>
              </w:rPr>
            </w:pPr>
          </w:p>
          <w:p>
            <w:pPr>
              <w:jc w:val="both"/>
              <w:rPr>
                <w:rFonts w:hint="eastAsia" w:ascii="宋体" w:hAnsi="宋体" w:eastAsia="宋体" w:cs="宋体"/>
                <w:snapToGrid w:val="0"/>
                <w:color w:val="000000"/>
                <w:kern w:val="0"/>
                <w:sz w:val="18"/>
                <w:szCs w:val="18"/>
              </w:rPr>
            </w:pPr>
          </w:p>
        </w:tc>
        <w:tc>
          <w:tcPr>
            <w:tcW w:w="973" w:type="dxa"/>
            <w:noWrap w:val="0"/>
            <w:vAlign w:val="center"/>
          </w:tcPr>
          <w:p>
            <w:pPr>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张佳</w:t>
            </w:r>
          </w:p>
        </w:tc>
        <w:tc>
          <w:tcPr>
            <w:tcW w:w="1126"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县长公开电话受理中心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王宇亭7902345</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napToGrid w:val="0"/>
                <w:color w:val="000000"/>
                <w:kern w:val="0"/>
                <w:sz w:val="18"/>
                <w:szCs w:val="18"/>
              </w:rPr>
            </w:pPr>
          </w:p>
        </w:tc>
      </w:tr>
    </w:tbl>
    <w:p>
      <w:pPr>
        <w:sectPr>
          <w:pgSz w:w="16838" w:h="11906" w:orient="landscape"/>
          <w:pgMar w:top="839" w:right="1304" w:bottom="1661" w:left="1287" w:header="851" w:footer="992" w:gutter="0"/>
          <w:pgNumType w:fmt="decimal"/>
          <w:cols w:space="720" w:num="1"/>
          <w:rtlGutter w:val="0"/>
          <w:docGrid w:type="lines" w:linePitch="312" w:charSpace="0"/>
        </w:sectPr>
      </w:pPr>
    </w:p>
    <w:p/>
    <w:tbl>
      <w:tblPr>
        <w:tblStyle w:val="6"/>
        <w:tblW w:w="15832"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2034"/>
        <w:gridCol w:w="666"/>
        <w:gridCol w:w="2247"/>
        <w:gridCol w:w="737"/>
        <w:gridCol w:w="2200"/>
        <w:gridCol w:w="1116"/>
        <w:gridCol w:w="1134"/>
        <w:gridCol w:w="1200"/>
        <w:gridCol w:w="1116"/>
        <w:gridCol w:w="917"/>
        <w:gridCol w:w="973"/>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366" w:type="dxa"/>
            <w:vMerge w:val="restart"/>
            <w:tcBorders>
              <w:bottom w:val="nil"/>
            </w:tcBorders>
            <w:noWrap w:val="0"/>
            <w:textDirection w:val="tbRlV"/>
            <w:vAlign w:val="top"/>
          </w:tcPr>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序 号</w:t>
            </w:r>
          </w:p>
        </w:tc>
        <w:tc>
          <w:tcPr>
            <w:tcW w:w="2034"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rightChars="0"/>
              <w:jc w:val="center"/>
              <w:rPr>
                <w:rFonts w:hint="eastAsia" w:ascii="宋体" w:hAnsi="宋体" w:eastAsia="宋体" w:cs="宋体"/>
                <w:sz w:val="18"/>
                <w:szCs w:val="18"/>
                <w:lang w:eastAsia="zh-CN"/>
              </w:rPr>
            </w:pPr>
            <w:r>
              <w:rPr>
                <w:rFonts w:hint="eastAsia" w:ascii="宋体" w:hAnsi="宋体" w:eastAsia="宋体" w:cs="宋体"/>
                <w:sz w:val="16"/>
                <w:szCs w:val="16"/>
                <w:lang w:eastAsia="zh-CN"/>
              </w:rPr>
              <w:t>省级任务</w:t>
            </w:r>
          </w:p>
        </w:tc>
        <w:tc>
          <w:tcPr>
            <w:tcW w:w="666" w:type="dxa"/>
            <w:vMerge w:val="restart"/>
            <w:tcBorders>
              <w:bottom w:val="nil"/>
            </w:tcBorders>
            <w:noWrap w:val="0"/>
            <w:vAlign w:val="top"/>
          </w:tcPr>
          <w:p>
            <w:pPr>
              <w:spacing w:before="246" w:line="251" w:lineRule="auto"/>
              <w:ind w:left="71" w:leftChars="0" w:right="65" w:rightChars="0" w:hanging="3" w:firstLineChars="0"/>
              <w:jc w:val="center"/>
              <w:rPr>
                <w:rFonts w:hint="eastAsia" w:ascii="宋体" w:hAnsi="宋体" w:eastAsia="宋体" w:cs="宋体"/>
                <w:sz w:val="18"/>
                <w:szCs w:val="18"/>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247"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8"/>
                <w:szCs w:val="18"/>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2200"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rightChars="0"/>
              <w:jc w:val="center"/>
              <w:rPr>
                <w:rFonts w:hint="eastAsia" w:ascii="宋体" w:hAnsi="宋体" w:eastAsia="宋体" w:cs="宋体"/>
                <w:sz w:val="18"/>
                <w:szCs w:val="18"/>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66" w:type="dxa"/>
            <w:gridSpan w:val="4"/>
            <w:noWrap w:val="0"/>
            <w:vAlign w:val="top"/>
          </w:tcPr>
          <w:p>
            <w:pPr>
              <w:spacing w:before="140" w:line="223" w:lineRule="auto"/>
              <w:jc w:val="center"/>
              <w:rPr>
                <w:rFonts w:hint="eastAsia" w:ascii="宋体" w:hAnsi="宋体" w:eastAsia="宋体" w:cs="宋体"/>
                <w:sz w:val="18"/>
                <w:szCs w:val="18"/>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917" w:type="dxa"/>
            <w:vMerge w:val="restart"/>
            <w:tcBorders>
              <w:bottom w:val="nil"/>
            </w:tcBorders>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3"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z w:val="18"/>
                <w:szCs w:val="18"/>
                <w:lang w:val="en-US" w:eastAsia="zh-CN"/>
              </w:rPr>
            </w:pPr>
            <w:r>
              <w:rPr>
                <w:rFonts w:hint="eastAsia" w:ascii="宋体" w:hAnsi="宋体" w:eastAsia="宋体" w:cs="宋体"/>
                <w:spacing w:val="-3"/>
                <w:sz w:val="16"/>
                <w:szCs w:val="16"/>
                <w:lang w:val="en-US" w:eastAsia="zh-CN"/>
              </w:rPr>
              <w:t>责任部门分管领导</w:t>
            </w:r>
          </w:p>
        </w:tc>
        <w:tc>
          <w:tcPr>
            <w:tcW w:w="112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8"/>
                <w:szCs w:val="18"/>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66" w:type="dxa"/>
            <w:vMerge w:val="continue"/>
            <w:tcBorders>
              <w:top w:val="nil"/>
            </w:tcBorders>
            <w:noWrap w:val="0"/>
            <w:textDirection w:val="tbRlV"/>
            <w:vAlign w:val="top"/>
          </w:tcPr>
          <w:p>
            <w:pPr>
              <w:rPr>
                <w:rFonts w:hint="eastAsia" w:ascii="宋体" w:hAnsi="宋体" w:eastAsia="宋体" w:cs="宋体"/>
                <w:sz w:val="18"/>
                <w:szCs w:val="18"/>
                <w:lang w:eastAsia="zh-CN"/>
              </w:rPr>
            </w:pPr>
          </w:p>
        </w:tc>
        <w:tc>
          <w:tcPr>
            <w:tcW w:w="2034" w:type="dxa"/>
            <w:vMerge w:val="continue"/>
            <w:tcBorders>
              <w:top w:val="nil"/>
            </w:tcBorders>
            <w:noWrap w:val="0"/>
            <w:vAlign w:val="top"/>
          </w:tcPr>
          <w:p>
            <w:pPr>
              <w:rPr>
                <w:rFonts w:hint="eastAsia" w:ascii="宋体" w:hAnsi="宋体" w:eastAsia="宋体" w:cs="宋体"/>
                <w:sz w:val="18"/>
                <w:szCs w:val="18"/>
                <w:lang w:eastAsia="zh-CN"/>
              </w:rPr>
            </w:pPr>
          </w:p>
        </w:tc>
        <w:tc>
          <w:tcPr>
            <w:tcW w:w="666" w:type="dxa"/>
            <w:vMerge w:val="continue"/>
            <w:tcBorders>
              <w:top w:val="nil"/>
            </w:tcBorders>
            <w:noWrap w:val="0"/>
            <w:vAlign w:val="top"/>
          </w:tcPr>
          <w:p>
            <w:pPr>
              <w:rPr>
                <w:rFonts w:hint="eastAsia" w:ascii="宋体" w:hAnsi="宋体" w:eastAsia="宋体" w:cs="宋体"/>
                <w:sz w:val="18"/>
                <w:szCs w:val="18"/>
              </w:rPr>
            </w:pPr>
          </w:p>
        </w:tc>
        <w:tc>
          <w:tcPr>
            <w:tcW w:w="2247" w:type="dxa"/>
            <w:vMerge w:val="continue"/>
            <w:tcBorders>
              <w:top w:val="nil"/>
            </w:tcBorders>
            <w:noWrap w:val="0"/>
            <w:vAlign w:val="top"/>
          </w:tcPr>
          <w:p>
            <w:pPr>
              <w:rPr>
                <w:rFonts w:hint="eastAsia" w:ascii="宋体" w:hAnsi="宋体" w:eastAsia="宋体" w:cs="宋体"/>
                <w:sz w:val="18"/>
                <w:szCs w:val="18"/>
              </w:rPr>
            </w:pPr>
          </w:p>
        </w:tc>
        <w:tc>
          <w:tcPr>
            <w:tcW w:w="737" w:type="dxa"/>
            <w:vMerge w:val="continue"/>
            <w:noWrap w:val="0"/>
            <w:vAlign w:val="top"/>
          </w:tcPr>
          <w:p>
            <w:pPr>
              <w:rPr>
                <w:rFonts w:hint="eastAsia" w:ascii="宋体" w:hAnsi="宋体" w:eastAsia="宋体" w:cs="宋体"/>
                <w:sz w:val="18"/>
                <w:szCs w:val="18"/>
              </w:rPr>
            </w:pPr>
          </w:p>
        </w:tc>
        <w:tc>
          <w:tcPr>
            <w:tcW w:w="2200" w:type="dxa"/>
            <w:vMerge w:val="continue"/>
            <w:noWrap w:val="0"/>
            <w:vAlign w:val="top"/>
          </w:tcPr>
          <w:p>
            <w:pPr>
              <w:rPr>
                <w:rFonts w:hint="eastAsia" w:ascii="宋体" w:hAnsi="宋体" w:eastAsia="宋体" w:cs="宋体"/>
                <w:sz w:val="18"/>
                <w:szCs w:val="18"/>
              </w:rPr>
            </w:pP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第一季度</w:t>
            </w:r>
          </w:p>
        </w:tc>
        <w:tc>
          <w:tcPr>
            <w:tcW w:w="1134"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第二季度</w:t>
            </w:r>
          </w:p>
        </w:tc>
        <w:tc>
          <w:tcPr>
            <w:tcW w:w="1200" w:type="dxa"/>
            <w:noWrap w:val="0"/>
            <w:vAlign w:val="top"/>
          </w:tcPr>
          <w:p>
            <w:pPr>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第三季度</w:t>
            </w:r>
          </w:p>
        </w:tc>
        <w:tc>
          <w:tcPr>
            <w:tcW w:w="1116" w:type="dxa"/>
            <w:noWrap w:val="0"/>
            <w:vAlign w:val="top"/>
          </w:tcPr>
          <w:p>
            <w:pPr>
              <w:ind w:firstLine="180" w:firstLineChars="100"/>
              <w:rPr>
                <w:rFonts w:hint="eastAsia" w:ascii="宋体" w:hAnsi="宋体" w:eastAsia="宋体" w:cs="宋体"/>
                <w:sz w:val="18"/>
                <w:szCs w:val="18"/>
              </w:rPr>
            </w:pPr>
          </w:p>
          <w:p>
            <w:pPr>
              <w:ind w:firstLine="180" w:firstLineChars="100"/>
              <w:rPr>
                <w:rFonts w:hint="eastAsia" w:ascii="宋体" w:hAnsi="宋体" w:eastAsia="宋体" w:cs="宋体"/>
                <w:sz w:val="18"/>
                <w:szCs w:val="18"/>
              </w:rPr>
            </w:pPr>
            <w:r>
              <w:rPr>
                <w:rFonts w:hint="eastAsia" w:ascii="宋体" w:hAnsi="宋体" w:eastAsia="宋体" w:cs="宋体"/>
                <w:sz w:val="18"/>
                <w:szCs w:val="18"/>
              </w:rPr>
              <w:t>第四季度</w:t>
            </w:r>
          </w:p>
        </w:tc>
        <w:tc>
          <w:tcPr>
            <w:tcW w:w="917" w:type="dxa"/>
            <w:vMerge w:val="continue"/>
            <w:tcBorders>
              <w:top w:val="nil"/>
            </w:tcBorders>
            <w:noWrap w:val="0"/>
            <w:vAlign w:val="top"/>
          </w:tcPr>
          <w:p>
            <w:pPr>
              <w:rPr>
                <w:rFonts w:hint="eastAsia" w:ascii="宋体" w:hAnsi="宋体" w:eastAsia="宋体" w:cs="宋体"/>
                <w:sz w:val="18"/>
                <w:szCs w:val="18"/>
              </w:rPr>
            </w:pPr>
          </w:p>
        </w:tc>
        <w:tc>
          <w:tcPr>
            <w:tcW w:w="973" w:type="dxa"/>
            <w:vMerge w:val="continue"/>
            <w:noWrap w:val="0"/>
            <w:vAlign w:val="top"/>
          </w:tcPr>
          <w:p>
            <w:pPr>
              <w:rPr>
                <w:rFonts w:hint="eastAsia" w:ascii="宋体" w:hAnsi="宋体" w:eastAsia="宋体" w:cs="宋体"/>
                <w:sz w:val="18"/>
                <w:szCs w:val="18"/>
              </w:rPr>
            </w:pPr>
          </w:p>
        </w:tc>
        <w:tc>
          <w:tcPr>
            <w:tcW w:w="1126" w:type="dxa"/>
            <w:vMerge w:val="continue"/>
            <w:noWrap w:val="0"/>
            <w:vAlign w:val="top"/>
          </w:tcPr>
          <w:p>
            <w:pPr>
              <w:rPr>
                <w:rFonts w:hint="eastAsia"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5" w:hRule="atLeast"/>
        </w:trPr>
        <w:tc>
          <w:tcPr>
            <w:tcW w:w="366" w:type="dxa"/>
            <w:noWrap w:val="0"/>
            <w:vAlign w:val="top"/>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val="en-US" w:eastAsia="zh-CN"/>
              </w:rPr>
            </w:pPr>
          </w:p>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034"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持续强化“诚信白山”品牌 影响力。全面加强各行业领域监管体制机制改革创新，积极推动“传统监管”向“信用监管”转型升级，牢牢锚 定“惠民助企”工作目标，调整优化“信易贷”工作推进机制，切实提高金融服务实体经济实效，进一步放大 “诚信白山 ”品牌增值效应。</w:t>
            </w:r>
          </w:p>
        </w:tc>
        <w:tc>
          <w:tcPr>
            <w:tcW w:w="666" w:type="dxa"/>
            <w:noWrap w:val="0"/>
            <w:vAlign w:val="top"/>
          </w:tcPr>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市级创 新工作</w:t>
            </w:r>
          </w:p>
        </w:tc>
        <w:tc>
          <w:tcPr>
            <w:tcW w:w="2247" w:type="dxa"/>
            <w:noWrap w:val="0"/>
            <w:vAlign w:val="top"/>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①加强信用承诺信息在政务诚信、政务服务、行政审批等相关事项中的具体应用，将践诺信息纳入市场主体信用记录，利用“信用中国 (吉林白山) ”网站将承诺内容面向社会公开。                        ②协调各行业监管部门结合企业公共信用综合评价结果及各行业领域工作实际，明确符合行业特征的评价标准，根据评价结果，对相对主 体实施差异化监管措施。          </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③组织建立“信易贷”推进工作组，引导中小微企业在“信易贷”平台进行实名认证，持续增长企业实名认证数量。</w:t>
            </w:r>
          </w:p>
        </w:tc>
        <w:tc>
          <w:tcPr>
            <w:tcW w:w="737"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pacing w:val="-6"/>
                <w:sz w:val="18"/>
                <w:szCs w:val="18"/>
              </w:rPr>
              <w:t>市</w:t>
            </w:r>
            <w:r>
              <w:rPr>
                <w:rFonts w:hint="eastAsia" w:ascii="宋体" w:hAnsi="宋体" w:eastAsia="宋体" w:cs="宋体"/>
                <w:spacing w:val="-3"/>
                <w:sz w:val="18"/>
                <w:szCs w:val="18"/>
              </w:rPr>
              <w:t>政数</w:t>
            </w:r>
            <w:r>
              <w:rPr>
                <w:rFonts w:hint="eastAsia" w:ascii="宋体" w:hAnsi="宋体" w:eastAsia="宋体" w:cs="宋体"/>
                <w:sz w:val="18"/>
                <w:szCs w:val="18"/>
              </w:rPr>
              <w:t xml:space="preserve"> </w:t>
            </w:r>
            <w:r>
              <w:rPr>
                <w:rFonts w:hint="eastAsia" w:ascii="宋体" w:hAnsi="宋体" w:eastAsia="宋体" w:cs="宋体"/>
                <w:spacing w:val="-13"/>
                <w:sz w:val="18"/>
                <w:szCs w:val="18"/>
              </w:rPr>
              <w:t>局</w:t>
            </w:r>
            <w:r>
              <w:rPr>
                <w:rFonts w:hint="eastAsia" w:ascii="宋体" w:hAnsi="宋体" w:eastAsia="宋体" w:cs="宋体"/>
                <w:spacing w:val="-12"/>
                <w:sz w:val="18"/>
                <w:szCs w:val="18"/>
              </w:rPr>
              <w:t>牵头，</w:t>
            </w:r>
            <w:r>
              <w:rPr>
                <w:rFonts w:hint="eastAsia" w:ascii="宋体" w:hAnsi="宋体" w:eastAsia="宋体" w:cs="宋体"/>
                <w:sz w:val="18"/>
                <w:szCs w:val="18"/>
              </w:rPr>
              <w:t xml:space="preserve"> </w:t>
            </w:r>
            <w:r>
              <w:rPr>
                <w:rFonts w:hint="eastAsia" w:ascii="宋体" w:hAnsi="宋体" w:eastAsia="宋体" w:cs="宋体"/>
                <w:spacing w:val="20"/>
                <w:sz w:val="18"/>
                <w:szCs w:val="18"/>
              </w:rPr>
              <w:t>各</w:t>
            </w:r>
            <w:r>
              <w:rPr>
                <w:rFonts w:hint="eastAsia" w:ascii="宋体" w:hAnsi="宋体" w:eastAsia="宋体" w:cs="宋体"/>
                <w:spacing w:val="19"/>
                <w:sz w:val="18"/>
                <w:szCs w:val="18"/>
              </w:rPr>
              <w:t>有关</w:t>
            </w:r>
            <w:r>
              <w:rPr>
                <w:rFonts w:hint="eastAsia" w:ascii="宋体" w:hAnsi="宋体" w:eastAsia="宋体" w:cs="宋体"/>
                <w:sz w:val="18"/>
                <w:szCs w:val="18"/>
              </w:rPr>
              <w:t xml:space="preserve"> </w:t>
            </w:r>
            <w:r>
              <w:rPr>
                <w:rFonts w:hint="eastAsia" w:ascii="宋体" w:hAnsi="宋体" w:eastAsia="宋体" w:cs="宋体"/>
                <w:spacing w:val="20"/>
                <w:sz w:val="18"/>
                <w:szCs w:val="18"/>
              </w:rPr>
              <w:t>部</w:t>
            </w:r>
            <w:r>
              <w:rPr>
                <w:rFonts w:hint="eastAsia" w:ascii="宋体" w:hAnsi="宋体" w:eastAsia="宋体" w:cs="宋体"/>
                <w:spacing w:val="19"/>
                <w:sz w:val="18"/>
                <w:szCs w:val="18"/>
              </w:rPr>
              <w:t>门按</w:t>
            </w:r>
            <w:r>
              <w:rPr>
                <w:rFonts w:hint="eastAsia" w:ascii="宋体" w:hAnsi="宋体" w:eastAsia="宋体" w:cs="宋体"/>
                <w:sz w:val="18"/>
                <w:szCs w:val="18"/>
              </w:rPr>
              <w:t xml:space="preserve"> </w:t>
            </w:r>
            <w:r>
              <w:rPr>
                <w:rFonts w:hint="eastAsia" w:ascii="宋体" w:hAnsi="宋体" w:eastAsia="宋体" w:cs="宋体"/>
                <w:spacing w:val="20"/>
                <w:sz w:val="18"/>
                <w:szCs w:val="18"/>
              </w:rPr>
              <w:t>职</w:t>
            </w:r>
            <w:r>
              <w:rPr>
                <w:rFonts w:hint="eastAsia" w:ascii="宋体" w:hAnsi="宋体" w:eastAsia="宋体" w:cs="宋体"/>
                <w:spacing w:val="19"/>
                <w:sz w:val="18"/>
                <w:szCs w:val="18"/>
              </w:rPr>
              <w:t>责分</w:t>
            </w:r>
            <w:r>
              <w:rPr>
                <w:rFonts w:hint="eastAsia" w:ascii="宋体" w:hAnsi="宋体" w:eastAsia="宋体" w:cs="宋体"/>
                <w:sz w:val="18"/>
                <w:szCs w:val="18"/>
              </w:rPr>
              <w:t xml:space="preserve"> </w:t>
            </w:r>
            <w:r>
              <w:rPr>
                <w:rFonts w:hint="eastAsia" w:ascii="宋体" w:hAnsi="宋体" w:eastAsia="宋体" w:cs="宋体"/>
                <w:spacing w:val="-2"/>
                <w:sz w:val="18"/>
                <w:szCs w:val="18"/>
              </w:rPr>
              <w:t>工负责</w:t>
            </w:r>
          </w:p>
        </w:tc>
        <w:tc>
          <w:tcPr>
            <w:tcW w:w="2200" w:type="dxa"/>
            <w:noWrap w:val="0"/>
            <w:vAlign w:val="center"/>
          </w:tcPr>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加强信用承诺、践诺信息归集，利用信用中国（吉林白山）、信用中国（吉林靖宇）等网站将承诺内容面向社会公开。</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协调各行业监管部门结合企业公共信用综合评价结果及各行业领域工作实际，明确符合行业特征的评价标准，根据评价结果，对相对主体实施差异化监管措施。</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多渠道推广“信易贷”平台，引导中小微企业在“信易贷”平台进行实名认证，持续增长企业实名认证数量。</w:t>
            </w:r>
          </w:p>
          <w:p>
            <w:pPr>
              <w:jc w:val="left"/>
              <w:rPr>
                <w:rFonts w:hint="eastAsia" w:ascii="宋体" w:hAnsi="宋体" w:eastAsia="宋体" w:cs="宋体"/>
                <w:sz w:val="18"/>
                <w:szCs w:val="18"/>
                <w:lang w:eastAsia="zh-CN"/>
              </w:rPr>
            </w:pPr>
          </w:p>
        </w:tc>
        <w:tc>
          <w:tcPr>
            <w:tcW w:w="1116"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强化信用承诺、践诺信息归集，推动我县重点行业领域履约践诺信息与信用承诺信息数量比例达到100%。</w:t>
            </w:r>
          </w:p>
        </w:tc>
        <w:tc>
          <w:tcPr>
            <w:tcW w:w="1134"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完善“信易贷”多方协调联动工作机制，多渠道开展“信易贷”平台宣传推广活动，进一步提高平台知晓率及应用率。</w:t>
            </w:r>
          </w:p>
        </w:tc>
        <w:tc>
          <w:tcPr>
            <w:tcW w:w="1200"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全面实施企业</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公共信用综合</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评价，重点行</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业领域相对市</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场主体信用综</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合评价做到全</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覆盖。</w:t>
            </w:r>
          </w:p>
        </w:tc>
        <w:tc>
          <w:tcPr>
            <w:tcW w:w="1116" w:type="dxa"/>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依托白山市信</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用综合服务平</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台，将信用综合评价结果按行业进行梳理分类，及时推送至各行业监管部门，用以支撑行业信用监管。</w:t>
            </w:r>
          </w:p>
        </w:tc>
        <w:tc>
          <w:tcPr>
            <w:tcW w:w="917" w:type="dxa"/>
            <w:noWrap w:val="0"/>
            <w:vAlign w:val="center"/>
          </w:tcPr>
          <w:p>
            <w:pPr>
              <w:jc w:val="left"/>
              <w:rPr>
                <w:rFonts w:hint="eastAsia" w:ascii="宋体" w:hAnsi="宋体" w:eastAsia="宋体" w:cs="宋体"/>
                <w:sz w:val="18"/>
                <w:szCs w:val="18"/>
                <w:lang w:eastAsia="zh-CN"/>
              </w:rPr>
            </w:pPr>
            <w:r>
              <w:rPr>
                <w:rFonts w:hint="eastAsia" w:ascii="宋体" w:hAnsi="宋体" w:eastAsia="宋体" w:cs="宋体"/>
                <w:sz w:val="18"/>
                <w:szCs w:val="18"/>
                <w:lang w:val="en-US" w:eastAsia="zh-CN"/>
              </w:rPr>
              <w:t>县</w:t>
            </w:r>
            <w:r>
              <w:rPr>
                <w:rFonts w:hint="eastAsia" w:ascii="宋体" w:hAnsi="宋体" w:eastAsia="宋体" w:cs="宋体"/>
                <w:sz w:val="18"/>
                <w:szCs w:val="18"/>
                <w:lang w:eastAsia="zh-CN"/>
              </w:rPr>
              <w:t>政数局牵头，各有关</w:t>
            </w:r>
          </w:p>
          <w:p>
            <w:pPr>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部门按职责分工负责</w:t>
            </w:r>
          </w:p>
          <w:p>
            <w:pPr>
              <w:jc w:val="left"/>
              <w:rPr>
                <w:rFonts w:hint="eastAsia" w:ascii="宋体" w:hAnsi="宋体" w:eastAsia="宋体" w:cs="宋体"/>
                <w:sz w:val="18"/>
                <w:szCs w:val="18"/>
                <w:lang w:eastAsia="zh-CN"/>
              </w:rPr>
            </w:pPr>
          </w:p>
        </w:tc>
        <w:tc>
          <w:tcPr>
            <w:tcW w:w="973" w:type="dxa"/>
            <w:noWrap w:val="0"/>
            <w:vAlign w:val="center"/>
          </w:tcPr>
          <w:p>
            <w:pPr>
              <w:jc w:val="center"/>
              <w:rPr>
                <w:rFonts w:hint="eastAsia" w:ascii="宋体" w:hAnsi="宋体" w:eastAsia="宋体" w:cs="宋体"/>
                <w:sz w:val="18"/>
                <w:szCs w:val="18"/>
                <w:lang w:val="en-US" w:eastAsia="zh-CN"/>
              </w:rPr>
            </w:pPr>
          </w:p>
          <w:p>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谢洪金</w:t>
            </w:r>
          </w:p>
        </w:tc>
        <w:tc>
          <w:tcPr>
            <w:tcW w:w="1126" w:type="dxa"/>
            <w:noWrap w:val="0"/>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社会信用体系建设科</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马洪玉</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7267556</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lang w:eastAsia="zh-CN"/>
              </w:rPr>
            </w:pPr>
          </w:p>
        </w:tc>
      </w:tr>
    </w:tbl>
    <w:p>
      <w:pPr>
        <w:bidi w:val="0"/>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iMmU5MjE3MTIzOTQxNmI4ZGFkODVlNWRmN2YifQ=="/>
  </w:docVars>
  <w:rsids>
    <w:rsidRoot w:val="19BC0910"/>
    <w:rsid w:val="19BC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2023-06-26T07:54:00Z</dcterms:created>
  <dc:creator>TY</dc:creator>
  <cp:lastModifiedBy>TY</cp:lastModifiedBy>
  <dcterms:modified xsi:type="dcterms:W3CDTF">2023-06-26T08:00:20Z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B706D2A67499435C9E04A0F9F0304AC7_11</vt:lpwstr>
  </property>
</Properties>
</file>