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公文小标宋" w:hAnsi="方正公文小标宋" w:eastAsia="方正公文小标宋" w:cs="方正公文小标宋"/>
          <w:b w:val="0"/>
          <w:bCs w:val="0"/>
          <w:sz w:val="44"/>
          <w:szCs w:val="44"/>
        </w:rPr>
      </w:pPr>
      <w:bookmarkStart w:id="0" w:name="_GoBack"/>
      <w:r>
        <w:rPr>
          <w:rFonts w:hint="eastAsia" w:ascii="方正公文小标宋" w:hAnsi="方正公文小标宋" w:eastAsia="方正公文小标宋" w:cs="方正公文小标宋"/>
          <w:b w:val="0"/>
          <w:bCs w:val="0"/>
          <w:sz w:val="44"/>
          <w:szCs w:val="44"/>
          <w:lang w:val="en-US" w:eastAsia="zh-CN"/>
        </w:rPr>
        <w:t>靖宇县公平公正法治环境建设工程</w:t>
      </w:r>
    </w:p>
    <w:bookmarkEnd w:id="0"/>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val="en-US" w:eastAsia="zh-CN"/>
        </w:rPr>
        <w:t>工作专班及任务清单（2023年）</w:t>
      </w:r>
    </w:p>
    <w:p>
      <w:pPr>
        <w:ind w:firstLine="210" w:firstLineChars="100"/>
        <w:rPr>
          <w:rFonts w:hint="eastAsia"/>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为全面落实省委、省政府关于优化营商环境的重大决策部署，积极营造适应全面建设社会主义现代化新吉林需要，具有鲜明吉林特色的公平公正法治环境，2023 年 1 月省政府印发了《吉林省公平公正法治环境建设工程实施方案》，按照相关要求并结合我县实际，县政府成立靖宇县公平公正法治环境建设工程工作专班。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班职责：司法局负总责，建立与各配合部门共同推进的公平公正法治环境建设工程工作协调机制。对相关工作任务进行科学谋划、综合协调，牵头汇总、分解相关工作任务，指导相关配合部门持续推进分工任务落实。制定《靖宇县公平公正法治环境建设工程工作专班任务清单（2023年）》，明确重点任务时间表、路线图，确保公平公正法治政策落到实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专班人员：组    长：秦树君 司法局局长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副 组 长：杨学军 司法局二级主任科员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成    员：王洪涛 司法局法规科负责人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配合单位：县法院、县检察院、县公安局、县市场监督管理局、县工商联、县发改委、县教育局、县工业和信息化局、县民政局、县财政局、县人力资源和社会保障局、县自然资源局、白山市生态环境局靖宇县分局、县住房和城乡建设局（人防办）、县城市管理综合行政执法大队、县交通运输局、县水利局、县农业农村局、县文化广播电视和旅游局、县卫生健康局、县应急管理局、县审计局、县医保局、县税务局、县气象局、县统计局、中国邮政集团公司吉林省靖宇县分公司、各乡镇人民政府。</w:t>
      </w:r>
    </w:p>
    <w:p>
      <w:pPr>
        <w:rPr>
          <w:rFonts w:hint="eastAsia" w:ascii="仿宋_GB2312" w:hAnsi="仿宋_GB2312" w:eastAsia="仿宋_GB2312" w:cs="仿宋_GB2312"/>
          <w:sz w:val="32"/>
          <w:szCs w:val="32"/>
        </w:rPr>
        <w:sectPr>
          <w:pgSz w:w="11906" w:h="16838"/>
          <w:pgMar w:top="1417" w:right="1417" w:bottom="1417" w:left="1417" w:header="851" w:footer="992" w:gutter="0"/>
          <w:pgNumType w:fmt="decimal"/>
          <w:cols w:space="720" w:num="1"/>
          <w:rtlGutter w:val="0"/>
          <w:docGrid w:type="lines" w:linePitch="312" w:charSpace="0"/>
        </w:sectPr>
      </w:pPr>
    </w:p>
    <w:p>
      <w:pPr>
        <w:keepNext w:val="0"/>
        <w:keepLines w:val="0"/>
        <w:widowControl/>
        <w:suppressLineNumbers w:val="0"/>
        <w:jc w:val="center"/>
      </w:pPr>
      <w:r>
        <w:rPr>
          <w:rFonts w:hint="eastAsia" w:ascii="宋体" w:hAnsi="宋体" w:eastAsia="宋体" w:cs="宋体"/>
          <w:spacing w:val="-3"/>
          <w:sz w:val="44"/>
          <w:szCs w:val="44"/>
          <w:lang w:val="en-US" w:eastAsia="zh-CN"/>
        </w:rPr>
        <w:t>靖宇县</w:t>
      </w:r>
      <w:r>
        <w:rPr>
          <w:rFonts w:hint="eastAsia" w:ascii="宋体" w:hAnsi="宋体" w:eastAsia="宋体" w:cs="宋体"/>
          <w:snapToGrid w:val="0"/>
          <w:color w:val="000000"/>
          <w:kern w:val="0"/>
          <w:sz w:val="44"/>
          <w:szCs w:val="44"/>
          <w:lang w:val="en-US" w:eastAsia="zh-CN" w:bidi="ar"/>
        </w:rPr>
        <w:t>公平公正法治环境建设工程工作专班任务清单（</w:t>
      </w:r>
      <w:r>
        <w:rPr>
          <w:rFonts w:hint="default" w:ascii="Times New Roman" w:hAnsi="Times New Roman" w:eastAsia="宋体" w:cs="Times New Roman"/>
          <w:snapToGrid w:val="0"/>
          <w:color w:val="000000"/>
          <w:kern w:val="0"/>
          <w:sz w:val="44"/>
          <w:szCs w:val="44"/>
          <w:lang w:val="en-US" w:eastAsia="zh-CN" w:bidi="ar"/>
        </w:rPr>
        <w:t>2023</w:t>
      </w:r>
      <w:r>
        <w:rPr>
          <w:rFonts w:hint="eastAsia" w:ascii="宋体" w:hAnsi="宋体" w:eastAsia="宋体" w:cs="宋体"/>
          <w:snapToGrid w:val="0"/>
          <w:color w:val="000000"/>
          <w:kern w:val="0"/>
          <w:sz w:val="44"/>
          <w:szCs w:val="44"/>
          <w:lang w:val="en-US" w:eastAsia="zh-CN" w:bidi="ar"/>
        </w:rPr>
        <w:t>年）</w:t>
      </w:r>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2250"/>
        <w:gridCol w:w="1270"/>
        <w:gridCol w:w="809"/>
        <w:gridCol w:w="809"/>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市级责任部门</w:t>
            </w:r>
          </w:p>
        </w:tc>
        <w:tc>
          <w:tcPr>
            <w:tcW w:w="2250"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县级任务</w:t>
            </w:r>
          </w:p>
        </w:tc>
        <w:tc>
          <w:tcPr>
            <w:tcW w:w="3806"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17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250"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27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第一季度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第二季度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65"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4"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完善公平竞争审查机制。各地区、各部门在制定市场准入和退出、产业发展、招商引资、资质标准等涉及市场主体经济活动的规章、规范性文件以及其他具体政策措施时，要按照《公平竞争审查制度实施细则》（国市监反垄规〔2021〕2号）的规定，进行公平竞 争审查。经公平竞争审查认为具有排除、限制竞争效果且不符合例外规定的，应当不予出台或者调整至符合相关要求后出台；未经公平竞争审查的，不得出台。 </w:t>
            </w:r>
          </w:p>
          <w:p>
            <w:pPr>
              <w:jc w:val="both"/>
              <w:rPr>
                <w:rFonts w:hint="eastAsia" w:ascii="宋体" w:hAnsi="宋体" w:eastAsia="宋体" w:cs="宋体"/>
                <w:sz w:val="18"/>
                <w:szCs w:val="18"/>
                <w:lang w:val="en-US" w:eastAsia="zh-CN"/>
              </w:rPr>
            </w:pP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省市场监管厅 </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牵头，中省直各相关部门各市、县级政府按职责分工负责</w:t>
            </w:r>
          </w:p>
          <w:p>
            <w:pPr>
              <w:jc w:val="both"/>
              <w:rPr>
                <w:rFonts w:hint="eastAsia" w:ascii="宋体" w:hAnsi="宋体" w:eastAsia="宋体" w:cs="宋体"/>
                <w:sz w:val="18"/>
                <w:szCs w:val="18"/>
                <w:lang w:val="en-US" w:eastAsia="zh-CN"/>
              </w:rPr>
            </w:pP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善公平竞争审查机制。各地区、各部门在制定市场准入和退出、产业发展、招商引资、资质标准等涉及市场主体经济活动的规章、规范性文件以及其他具体政策措施时，要按照《公平竞争审查制度实施细则》（国市监反垄规〔2021〕2号）的规定，进行公平竞争审查。经公平竞争审查认为具有排除、限制竞争效果且不符合例外规定的，应当不予出台或者调整至符合相关要求后出台；未经公平竞争审查的，不得出台。</w:t>
            </w: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市</w:t>
            </w:r>
            <w:r>
              <w:rPr>
                <w:rFonts w:hint="eastAsia" w:ascii="宋体" w:hAnsi="宋体" w:eastAsia="宋体" w:cs="宋体"/>
                <w:sz w:val="18"/>
                <w:szCs w:val="18"/>
                <w:lang w:val="en-US" w:eastAsia="zh-CN"/>
              </w:rPr>
              <w:t>市场监管局牵头，市公平竞争审查工作联席会议成员单位、各县级政府配合</w:t>
            </w:r>
            <w:r>
              <w:rPr>
                <w:rFonts w:hint="eastAsia" w:ascii="宋体" w:hAnsi="宋体" w:cs="宋体"/>
                <w:sz w:val="18"/>
                <w:szCs w:val="18"/>
                <w:lang w:val="en-US" w:eastAsia="zh-CN"/>
              </w:rPr>
              <w:t>。</w:t>
            </w:r>
          </w:p>
          <w:p>
            <w:pPr>
              <w:jc w:val="both"/>
              <w:rPr>
                <w:rFonts w:hint="eastAsia" w:ascii="宋体" w:hAnsi="宋体" w:eastAsia="宋体" w:cs="宋体"/>
                <w:sz w:val="18"/>
                <w:szCs w:val="18"/>
                <w:lang w:val="en-US" w:eastAsia="zh-CN"/>
              </w:rPr>
            </w:pP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结合我县实际工作，健全完善公平竞争审查各项制度。持续开展政策 措施抽查。组织开展制止滥用行政权力排除、限制竞争执法专项行动。</w:t>
            </w:r>
          </w:p>
        </w:tc>
        <w:tc>
          <w:tcPr>
            <w:tcW w:w="1270" w:type="dxa"/>
            <w:noWrap w:val="0"/>
            <w:vAlign w:val="center"/>
          </w:tcPr>
          <w:p>
            <w:pPr>
              <w:jc w:val="both"/>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建立完善公平竞争审查投诉举报和处理回应机制。</w:t>
            </w:r>
          </w:p>
        </w:tc>
        <w:tc>
          <w:tcPr>
            <w:tcW w:w="809" w:type="dxa"/>
            <w:noWrap w:val="0"/>
            <w:vAlign w:val="center"/>
          </w:tcPr>
          <w:p>
            <w:pPr>
              <w:jc w:val="both"/>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健全完善重大措施会审 制度。</w:t>
            </w:r>
          </w:p>
        </w:tc>
        <w:tc>
          <w:tcPr>
            <w:tcW w:w="809" w:type="dxa"/>
            <w:noWrap w:val="0"/>
            <w:vAlign w:val="center"/>
          </w:tcPr>
          <w:p>
            <w:pPr>
              <w:jc w:val="both"/>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组织开展制止滥用行政权力排除、限制竞争执法专项行动。</w:t>
            </w:r>
          </w:p>
        </w:tc>
        <w:tc>
          <w:tcPr>
            <w:tcW w:w="918" w:type="dxa"/>
            <w:tcBorders>
              <w:top w:val="single" w:color="auto" w:sz="4" w:space="0"/>
            </w:tcBorders>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组织开展政策措施抽查。</w:t>
            </w:r>
          </w:p>
        </w:tc>
        <w:tc>
          <w:tcPr>
            <w:tcW w:w="896" w:type="dxa"/>
            <w:tcBorders>
              <w:top w:val="single" w:color="auto" w:sz="4" w:space="0"/>
            </w:tcBorders>
            <w:noWrap w:val="0"/>
            <w:vAlign w:val="center"/>
          </w:tcPr>
          <w:p>
            <w:pPr>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县市场监督管理局牵头、县公平竞争审查工作联席会议成员单位、各乡镇级政府配合。</w:t>
            </w:r>
          </w:p>
        </w:tc>
        <w:tc>
          <w:tcPr>
            <w:tcW w:w="896"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尹发忠</w:t>
            </w:r>
          </w:p>
        </w:tc>
        <w:tc>
          <w:tcPr>
            <w:tcW w:w="96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石玉斌</w:t>
            </w:r>
          </w:p>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15500476968</w:t>
            </w:r>
          </w:p>
        </w:tc>
      </w:tr>
    </w:tbl>
    <w:p>
      <w:pPr>
        <w:sectPr>
          <w:footerReference r:id="rId3" w:type="default"/>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2250"/>
        <w:gridCol w:w="1270"/>
        <w:gridCol w:w="809"/>
        <w:gridCol w:w="809"/>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2250"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3806"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383" w:type="dxa"/>
            <w:vMerge w:val="continue"/>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2324" w:type="dxa"/>
            <w:vMerge w:val="continue"/>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989" w:type="dxa"/>
            <w:vMerge w:val="continue"/>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1994" w:type="dxa"/>
            <w:vMerge w:val="continue"/>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1176" w:type="dxa"/>
            <w:vMerge w:val="continue"/>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2250" w:type="dxa"/>
            <w:vMerge w:val="continue"/>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127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第一季度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第二季度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c>
          <w:tcPr>
            <w:tcW w:w="965" w:type="dxa"/>
            <w:vMerge w:val="continue"/>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2</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规章、规范性文件专项清理。强化合法性审查和备案审查，加大涉及法治化营商环境的规章、规范性文件审查力度。针对涉及地方保护、指定交易、市场壁垒等限制竞争和有碍公平竞争、侵害市场主体合法权益等影响营商环境的规章和规范性文件开展专项清理。根据清理结果，依照法定权限和程序 及时予以修改或者废止。</w:t>
            </w: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省司法厅牵头，中省直各相关部门及各市、县级政府按职责分工负责</w:t>
            </w:r>
          </w:p>
          <w:p>
            <w:pPr>
              <w:jc w:val="both"/>
              <w:rPr>
                <w:rFonts w:hint="eastAsia" w:ascii="宋体" w:hAnsi="宋体" w:eastAsia="宋体" w:cs="宋体"/>
                <w:sz w:val="18"/>
                <w:szCs w:val="18"/>
                <w:lang w:val="en-US" w:eastAsia="zh-CN"/>
              </w:rPr>
            </w:pP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1.加大涉及法治化营商环境的规范性文件合法性审查、审核力度。2.做好专项清理工作。针对涉及地方保护、指定交易、市场壁垒等限制竞争和有碍公平竞争、侵害市场主体合法权益等影响营商环境的规章和规范性文件开展专项清理，及时公布清理结果。根据清理结果依照法定权限和程序及时予以修改或者废止。 </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市司法局牵头，市直、中省直相关部门及各县级政府按职责分工负责。</w:t>
            </w:r>
          </w:p>
          <w:p>
            <w:pPr>
              <w:jc w:val="both"/>
              <w:rPr>
                <w:rFonts w:hint="eastAsia" w:ascii="宋体" w:hAnsi="宋体" w:eastAsia="宋体" w:cs="宋体"/>
                <w:sz w:val="18"/>
                <w:szCs w:val="18"/>
                <w:lang w:val="en-US" w:eastAsia="zh-CN"/>
              </w:rPr>
            </w:pP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1.加大涉及法治化营商环境的规范性文件合法性审查、审核力度。2.做好专项清理工作。针对涉及地方保护、指定交易、市场壁垒等限制竞争和有碍公平竞争、侵害市场主体合法权益等影响营商环境的规章和规范性文件开展专项清理，及时公布清理结果。根据清理结果依照法定权限和程序及时予以修改或者废止。 </w:t>
            </w:r>
          </w:p>
        </w:tc>
        <w:tc>
          <w:tcPr>
            <w:tcW w:w="127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待省司法厅组织开展的规范性文件清理相关文件下发后，县级组织开展专项清理工作。</w:t>
            </w:r>
          </w:p>
        </w:tc>
        <w:tc>
          <w:tcPr>
            <w:tcW w:w="80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w:t>
            </w:r>
          </w:p>
        </w:tc>
        <w:tc>
          <w:tcPr>
            <w:tcW w:w="80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w:t>
            </w:r>
          </w:p>
        </w:tc>
        <w:tc>
          <w:tcPr>
            <w:tcW w:w="918" w:type="dxa"/>
            <w:tcBorders>
              <w:top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w:t>
            </w:r>
          </w:p>
        </w:tc>
        <w:tc>
          <w:tcPr>
            <w:tcW w:w="896" w:type="dxa"/>
            <w:tcBorders>
              <w:top w:val="single" w:color="auto" w:sz="4" w:space="0"/>
            </w:tcBorders>
            <w:noWrap w:val="0"/>
            <w:vAlign w:val="center"/>
          </w:tcPr>
          <w:p>
            <w:pPr>
              <w:keepNext w:val="0"/>
              <w:keepLines w:val="0"/>
              <w:widowControl/>
              <w:suppressLineNumbers w:val="0"/>
              <w:jc w:val="both"/>
              <w:rPr>
                <w:rFonts w:hint="eastAsia" w:ascii="宋体" w:hAnsi="宋体" w:eastAsia="宋体" w:cs="宋体"/>
                <w:sz w:val="18"/>
                <w:szCs w:val="18"/>
              </w:rPr>
            </w:pPr>
            <w:r>
              <w:rPr>
                <w:rFonts w:hint="eastAsia" w:ascii="宋体" w:hAnsi="宋体" w:eastAsia="宋体" w:cs="宋体"/>
                <w:sz w:val="18"/>
                <w:szCs w:val="18"/>
                <w:lang w:val="en-US" w:eastAsia="zh-CN"/>
              </w:rPr>
              <w:t>县司法局牵头，县直、</w:t>
            </w:r>
            <w:r>
              <w:rPr>
                <w:rFonts w:hint="eastAsia" w:ascii="宋体" w:hAnsi="宋体" w:eastAsia="宋体" w:cs="宋体"/>
                <w:snapToGrid w:val="0"/>
                <w:color w:val="000000"/>
                <w:kern w:val="0"/>
                <w:sz w:val="18"/>
                <w:szCs w:val="18"/>
                <w:lang w:val="en-US" w:eastAsia="zh-CN" w:bidi="ar"/>
              </w:rPr>
              <w:t>中省直各相关部门及各乡镇政府按职责分工负责。</w:t>
            </w:r>
          </w:p>
          <w:p>
            <w:pPr>
              <w:jc w:val="both"/>
              <w:rPr>
                <w:rFonts w:hint="eastAsia" w:ascii="宋体" w:hAnsi="宋体" w:eastAsia="宋体" w:cs="宋体"/>
                <w:sz w:val="18"/>
                <w:szCs w:val="18"/>
                <w:lang w:val="en-US" w:eastAsia="zh-CN"/>
              </w:rPr>
            </w:pPr>
          </w:p>
        </w:tc>
        <w:tc>
          <w:tcPr>
            <w:tcW w:w="89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杨学军13843972806</w:t>
            </w:r>
          </w:p>
        </w:tc>
        <w:tc>
          <w:tcPr>
            <w:tcW w:w="96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王洪涛</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13179170767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3</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取消和调整一批不合理罚款事项。对照《国务院关于取消和调整一批罚款事项的决定》（国发〔2022〕15 号），重点取消和调整地方性法规、规章和规范性文件中违反法定权限设定、过罚不当等不合理罚款事项。</w:t>
            </w: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省司法厅牵头，中省直各相关部门及各市、县级政府按职责分工负责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开展涉及不合理罚款事项专项清理。按照《国务院关于取消和调整一批罚款事项的决定》（国发〔2022〕15 号）文件要求，对规章和规范性文件中违反法定权限设定，过罚不当等不合理罚款事项，公布清理结果。</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市司法局负责</w:t>
            </w: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按照市级公布的清理结果落实。</w:t>
            </w:r>
          </w:p>
        </w:tc>
        <w:tc>
          <w:tcPr>
            <w:tcW w:w="127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按照2021年市级清理结果，目前，白山市现行 有效规章、规范性文件无不合理罚款事项。</w:t>
            </w: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w:t>
            </w:r>
          </w:p>
          <w:p>
            <w:pPr>
              <w:jc w:val="both"/>
              <w:rPr>
                <w:rFonts w:hint="eastAsia" w:ascii="宋体" w:hAnsi="宋体" w:eastAsia="宋体" w:cs="宋体"/>
                <w:sz w:val="18"/>
                <w:szCs w:val="18"/>
                <w:lang w:val="en-US" w:eastAsia="zh-CN"/>
              </w:rPr>
            </w:pP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w:t>
            </w:r>
          </w:p>
          <w:p>
            <w:pPr>
              <w:jc w:val="both"/>
              <w:rPr>
                <w:rFonts w:hint="eastAsia" w:ascii="宋体" w:hAnsi="宋体" w:eastAsia="宋体" w:cs="宋体"/>
                <w:sz w:val="18"/>
                <w:szCs w:val="18"/>
                <w:lang w:val="en-US" w:eastAsia="zh-CN"/>
              </w:rPr>
            </w:pP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w:t>
            </w:r>
          </w:p>
          <w:p>
            <w:pPr>
              <w:jc w:val="both"/>
              <w:rPr>
                <w:rFonts w:hint="eastAsia" w:ascii="宋体" w:hAnsi="宋体" w:eastAsia="宋体" w:cs="宋体"/>
                <w:sz w:val="18"/>
                <w:szCs w:val="18"/>
                <w:lang w:val="en-US" w:eastAsia="zh-CN"/>
              </w:rPr>
            </w:pP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县司法局</w:t>
            </w:r>
          </w:p>
          <w:p>
            <w:pPr>
              <w:jc w:val="both"/>
              <w:rPr>
                <w:rFonts w:hint="eastAsia" w:ascii="宋体" w:hAnsi="宋体" w:eastAsia="宋体" w:cs="宋体"/>
                <w:sz w:val="18"/>
                <w:szCs w:val="18"/>
                <w:lang w:val="en-US" w:eastAsia="zh-CN"/>
              </w:rPr>
            </w:pP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杨学军13843972806</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市级责任部门</w:t>
            </w:r>
          </w:p>
        </w:tc>
        <w:tc>
          <w:tcPr>
            <w:tcW w:w="2250"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县级任务</w:t>
            </w:r>
          </w:p>
        </w:tc>
        <w:tc>
          <w:tcPr>
            <w:tcW w:w="3806"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17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250"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27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第一季度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第二季度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65"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0"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4</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进综合行政执法。制定赋予乡镇人民政府、街道办事处部分行政处罚权相关政策，出台《吉林省综合行政执法人才培养方案》，指导县级司法行政部门组织编制本地区乡镇（街道）行政执法目录清单，加强乡镇（街道）行政执法人员培训，完善基层综合行政执法文书标准，严格规范行政执法行为。在“７＋１”综合行政执法领域开展“执法创新实践案例”评选活动。</w:t>
            </w: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省司法厅、省生态环境厅、省住房城乡建设厅、 省交通运输厅、省农业农村厅、 省文化和旅游厅、省应急厅、省市场监管厅及各市、县级政府按职责分工负责</w:t>
            </w:r>
          </w:p>
        </w:tc>
        <w:tc>
          <w:tcPr>
            <w:tcW w:w="1994" w:type="dxa"/>
            <w:tcBorders>
              <w:top w:val="single" w:color="auto" w:sz="4" w:space="0"/>
              <w:bottom w:val="single" w:color="auto" w:sz="4" w:space="0"/>
            </w:tcBorders>
            <w:noWrap w:val="0"/>
            <w:vAlign w:val="center"/>
          </w:tcPr>
          <w:p>
            <w:pPr>
              <w:numPr>
                <w:ilvl w:val="0"/>
                <w:numId w:val="1"/>
              </w:num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指导县级司法行政部门组织镇街编制综合行政执法事项清单、联合行政执法事项清单；2.督促县级司法行政部门组织乡镇（街道）行政执法人员培训；3.指导各县级司法行政部门完善综合行政执法文书；4.督促县级司法行政机关开展行政执法监督，促进严格规范公正文明执法；5.组织“7+1”综合行政执法领域参加省司法厅“执法创新实践案例”评选活动。</w:t>
            </w:r>
          </w:p>
          <w:p>
            <w:pPr>
              <w:numPr>
                <w:ilvl w:val="0"/>
                <w:numId w:val="0"/>
              </w:numPr>
              <w:jc w:val="both"/>
              <w:rPr>
                <w:rFonts w:hint="eastAsia" w:ascii="宋体" w:hAnsi="宋体" w:eastAsia="宋体" w:cs="宋体"/>
                <w:sz w:val="18"/>
                <w:szCs w:val="18"/>
                <w:lang w:val="en-US" w:eastAsia="zh-CN"/>
              </w:rPr>
            </w:pP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市司法局牵头，“7+1”综合行政执法部门配合</w:t>
            </w:r>
          </w:p>
          <w:p>
            <w:pPr>
              <w:jc w:val="both"/>
              <w:rPr>
                <w:rFonts w:hint="eastAsia" w:ascii="宋体" w:hAnsi="宋体" w:eastAsia="宋体" w:cs="宋体"/>
                <w:sz w:val="18"/>
                <w:szCs w:val="18"/>
                <w:lang w:val="en-US" w:eastAsia="zh-CN"/>
              </w:rPr>
            </w:pP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指导各乡镇政府编制综合行政执法事项清单、联合行政执法事项清单；2.督促县级各行政部门组织乡镇行政执法人员培训；3.指导各县级行政执法部门完善综合行政执法文书；4.开展行政执法监督，促进严格规范公正文明执法；5.组织“7+1”综合行政执法领域参加省司法厅“执法创新实践案例”评选活动。</w:t>
            </w:r>
          </w:p>
          <w:p>
            <w:pPr>
              <w:jc w:val="both"/>
              <w:rPr>
                <w:rFonts w:hint="eastAsia" w:ascii="宋体" w:hAnsi="宋体" w:eastAsia="宋体" w:cs="宋体"/>
                <w:sz w:val="18"/>
                <w:szCs w:val="18"/>
                <w:lang w:val="en-US" w:eastAsia="zh-CN"/>
              </w:rPr>
            </w:pPr>
          </w:p>
        </w:tc>
        <w:tc>
          <w:tcPr>
            <w:tcW w:w="127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指导各乡镇政府编制综合行政执法事项清单、联合行政执 法事项清单；</w:t>
            </w:r>
          </w:p>
          <w:p>
            <w:pPr>
              <w:jc w:val="both"/>
              <w:rPr>
                <w:rFonts w:hint="eastAsia" w:ascii="宋体" w:hAnsi="宋体" w:eastAsia="宋体" w:cs="宋体"/>
                <w:sz w:val="18"/>
                <w:szCs w:val="18"/>
                <w:lang w:val="en-US" w:eastAsia="zh-CN"/>
              </w:rPr>
            </w:pP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督促县级各行政部门组织乡镇行政执法人员培训；指导各县级行政执法部门完善综合行政执法文书；</w:t>
            </w: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开展行政执法监督，促进严格规范公正文明执法。</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组织“7+1”综合行政执法领域参加省司法厅“执法创新实践案例”评选活动。</w:t>
            </w:r>
          </w:p>
          <w:p>
            <w:pPr>
              <w:jc w:val="both"/>
              <w:rPr>
                <w:rFonts w:hint="eastAsia" w:ascii="宋体" w:hAnsi="宋体" w:eastAsia="宋体" w:cs="宋体"/>
                <w:sz w:val="18"/>
                <w:szCs w:val="18"/>
                <w:lang w:val="en-US" w:eastAsia="zh-CN"/>
              </w:rPr>
            </w:pPr>
          </w:p>
        </w:tc>
        <w:tc>
          <w:tcPr>
            <w:tcW w:w="896" w:type="dxa"/>
            <w:tcBorders>
              <w:top w:val="single" w:color="auto" w:sz="4" w:space="0"/>
            </w:tcBorders>
            <w:noWrap w:val="0"/>
            <w:vAlign w:val="center"/>
          </w:tcPr>
          <w:p>
            <w:pPr>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县司法局牵头，“7+1”综合行政执法部门配合。</w:t>
            </w:r>
          </w:p>
          <w:p>
            <w:pPr>
              <w:jc w:val="both"/>
              <w:rPr>
                <w:rFonts w:hint="eastAsia" w:ascii="宋体" w:hAnsi="宋体" w:eastAsia="宋体" w:cs="宋体"/>
                <w:sz w:val="18"/>
                <w:szCs w:val="18"/>
                <w:lang w:val="en-US" w:eastAsia="zh-CN"/>
              </w:rPr>
            </w:pP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杨学军13843972806</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周自恒13843975607</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2250"/>
        <w:gridCol w:w="1270"/>
        <w:gridCol w:w="95"/>
        <w:gridCol w:w="623"/>
        <w:gridCol w:w="91"/>
        <w:gridCol w:w="809"/>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市级责任部门</w:t>
            </w:r>
          </w:p>
        </w:tc>
        <w:tc>
          <w:tcPr>
            <w:tcW w:w="2250"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县级任务</w:t>
            </w:r>
          </w:p>
        </w:tc>
        <w:tc>
          <w:tcPr>
            <w:tcW w:w="3806" w:type="dxa"/>
            <w:gridSpan w:val="6"/>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17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250"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27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第一季度</w:t>
            </w:r>
          </w:p>
        </w:tc>
        <w:tc>
          <w:tcPr>
            <w:tcW w:w="809" w:type="dxa"/>
            <w:gridSpan w:val="3"/>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第二季度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65"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5</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行包容审慎监管。全面实施“首违不罚清单”制度，动态调整不予处罚、从轻处罚、减轻处罚、免予行政强制等“四张清单”，健全完善“一案三书”工作机制，全面推行说服教育、劝导示范、行政建议、行政指导、行政约谈、行政告诫、行政回访、容缺执法等包容审慎监管方式，引导、规范、促进市场主体依法经营，让行政执法既有“力度”，更有“温度。</w:t>
            </w: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bidi w:val="0"/>
              <w:jc w:val="both"/>
              <w:rPr>
                <w:rFonts w:hint="eastAsia"/>
                <w:lang w:val="en-US" w:eastAsia="zh-CN"/>
              </w:rPr>
            </w:pP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中省直各相关</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部门及各市、县级政府按职责分工负责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落实《关于落实深入推行包容审慎监管执法“四张清单”的工作方案》，要求各地各部门根据法律法规动态调整“四张清单”，健全“一案三书”工作机制；2.各地各部门将调整后的“四张清单”和健全完善“一案三书”工作制度报市司法局备案；3.各地各部门将调整后的“四张清单”在行政执法 公示平台上进行公示。</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市司法局牵头，市直、中省直各相关部门及各县级政府按职责工负责</w:t>
            </w: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落实《关于落实深入推行包容审慎监管执法“四张清单”的工作方案》，要求各部门根据法律法规动态调整“四张清单”，健全“一案三书”工作机制；2.各部门将调整后的“四张清单”和健全完善“一案三书”工作制度报县司法局备案；3.各部门将调整后的 “四张清单”在行政执法公示平台上进行公示。</w:t>
            </w:r>
          </w:p>
        </w:tc>
        <w:tc>
          <w:tcPr>
            <w:tcW w:w="127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落实《关于落实 深入推行包容审慎监管执“四张清单”的工作案》，要求各部门根据法律法规动态调整“四张清单”，健全“ 一案三书”工作机制。</w:t>
            </w:r>
          </w:p>
        </w:tc>
        <w:tc>
          <w:tcPr>
            <w:tcW w:w="809" w:type="dxa"/>
            <w:gridSpan w:val="3"/>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各部门根据法律法规动态调整“四张清单”。</w:t>
            </w: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各部门根据法律法规动态调整“四张清单”。</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各部门将调整后的“四张清单”和健全完善“一案三书”工作制度报县司法局备案；各部门将调整后的“四张清单”在行政执法公示平台上进行公示。</w:t>
            </w: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县司法签头，县直、中省直各相关部门个乡镇政府按职责分工负责。</w:t>
            </w: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杨学军13843972806</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2250"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3806" w:type="dxa"/>
            <w:gridSpan w:val="6"/>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1"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1176" w:type="dxa"/>
            <w:vMerge w:val="continue"/>
            <w:noWrap w:val="0"/>
            <w:vAlign w:val="center"/>
          </w:tcPr>
          <w:p>
            <w:pPr>
              <w:jc w:val="both"/>
              <w:rPr>
                <w:rFonts w:hint="eastAsia" w:ascii="宋体" w:hAnsi="宋体" w:eastAsia="宋体" w:cs="宋体"/>
                <w:b w:val="0"/>
                <w:bCs w:val="0"/>
                <w:sz w:val="16"/>
                <w:szCs w:val="16"/>
                <w:lang w:val="en-US" w:eastAsia="zh-CN"/>
              </w:rPr>
            </w:pPr>
          </w:p>
        </w:tc>
        <w:tc>
          <w:tcPr>
            <w:tcW w:w="2250"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365" w:type="dxa"/>
            <w:gridSpan w:val="2"/>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第一季度</w:t>
            </w:r>
          </w:p>
        </w:tc>
        <w:tc>
          <w:tcPr>
            <w:tcW w:w="623"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第二季度</w:t>
            </w:r>
          </w:p>
        </w:tc>
        <w:tc>
          <w:tcPr>
            <w:tcW w:w="900" w:type="dxa"/>
            <w:gridSpan w:val="2"/>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965" w:type="dxa"/>
            <w:vMerge w:val="continue"/>
            <w:noWrap w:val="0"/>
            <w:vAlign w:val="center"/>
          </w:tcPr>
          <w:p>
            <w:pPr>
              <w:jc w:val="center"/>
              <w:rPr>
                <w:rFonts w:hint="eastAsia" w:ascii="宋体" w:hAnsi="宋体" w:eastAsia="宋体" w:cs="宋体"/>
                <w:b w:val="0"/>
                <w:bCs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82"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规范行政裁量权。建立健全行政裁量权基准制度，进一步明确行政裁量权基准制定的职责权限、内容和程序，全面规范和完善行政裁量权基准，加强行政裁量权基准管理，有效规范行政裁量权行使。将行政裁量权基准制定和管理工作纳入法治政府建设考评指标体系，督促各级行政执法部门规范行使行政裁量权，更好地保护市场主体和人民群众的合法权益。</w:t>
            </w: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省司法厅牵头，中省直各相关部门及各市、县级政府按职责分工负责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将行政裁量权基准管理工作纳入法治政府建设考评指标体系，督促各级行政执法部门落实省直部门制定的行政裁量权，加强行政裁量权基准管理，有效规范行政裁量权行使。</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市司法局牵头，市直、中省直各相关部门及各县级政府按职责分工负责。</w:t>
            </w: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将行政裁量权基准管理工作纳入法治政府建设考评指标体系，督促各行政执法部门落实省直部门制定的行政裁量权，加强行政裁量权基准管理，有效规范行政裁量权行使。</w:t>
            </w:r>
          </w:p>
        </w:tc>
        <w:tc>
          <w:tcPr>
            <w:tcW w:w="1365" w:type="dxa"/>
            <w:gridSpan w:val="2"/>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将行政裁量权基准管理工作纳入法治政府建设考评指标体系。</w:t>
            </w:r>
          </w:p>
        </w:tc>
        <w:tc>
          <w:tcPr>
            <w:tcW w:w="623"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督促各行政执法部门落实省直部门制定的行政裁量权，加强行政裁量权基准管理，有效规范行政裁量权行使。</w:t>
            </w:r>
          </w:p>
        </w:tc>
        <w:tc>
          <w:tcPr>
            <w:tcW w:w="900" w:type="dxa"/>
            <w:gridSpan w:val="2"/>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督促各行政执法部门落实省直部门制定的行政裁量权，加强行政裁量权基准管理，有效规范行政裁量权行使。</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通过年度行政执法检查、案卷评查等方式，行政检查执法各部门落实行政裁量权基准制度。</w:t>
            </w:r>
          </w:p>
          <w:p>
            <w:pPr>
              <w:jc w:val="both"/>
              <w:rPr>
                <w:rFonts w:hint="eastAsia" w:ascii="宋体" w:hAnsi="宋体" w:eastAsia="宋体" w:cs="宋体"/>
                <w:sz w:val="18"/>
                <w:szCs w:val="18"/>
                <w:lang w:val="en-US" w:eastAsia="zh-CN"/>
              </w:rPr>
            </w:pP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县司法局头，县直、中省直各相关部门及各乡镇政府按职责分工负责</w:t>
            </w: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杨学军13843972806</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周自恒13843975607</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2250"/>
        <w:gridCol w:w="1270"/>
        <w:gridCol w:w="809"/>
        <w:gridCol w:w="809"/>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市级责任部门</w:t>
            </w:r>
          </w:p>
        </w:tc>
        <w:tc>
          <w:tcPr>
            <w:tcW w:w="2250"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县级任务</w:t>
            </w:r>
          </w:p>
        </w:tc>
        <w:tc>
          <w:tcPr>
            <w:tcW w:w="3806"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17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2250"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127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第一季度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第二季度</w:t>
            </w:r>
          </w:p>
        </w:tc>
        <w:tc>
          <w:tcPr>
            <w:tcW w:w="80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shd w:val="clear" w:color="auto" w:fill="auto"/>
                <w:lang w:val="en-US" w:eastAsia="zh-CN"/>
              </w:rPr>
            </w:pPr>
            <w:r>
              <w:rPr>
                <w:rFonts w:hint="eastAsia" w:ascii="宋体" w:hAnsi="宋体" w:eastAsia="宋体" w:cs="宋体"/>
                <w:b w:val="0"/>
                <w:bCs w:val="0"/>
                <w:sz w:val="16"/>
                <w:szCs w:val="16"/>
                <w:shd w:val="clear" w:color="auto" w:fill="auto"/>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c>
          <w:tcPr>
            <w:tcW w:w="965" w:type="dxa"/>
            <w:vMerge w:val="continue"/>
            <w:noWrap w:val="0"/>
            <w:vAlign w:val="center"/>
          </w:tcPr>
          <w:p>
            <w:pPr>
              <w:jc w:val="center"/>
              <w:rPr>
                <w:rFonts w:hint="eastAsia" w:ascii="宋体" w:hAnsi="宋体" w:eastAsia="宋体" w:cs="宋体"/>
                <w:b w:val="0"/>
                <w:bCs w:val="0"/>
                <w:sz w:val="16"/>
                <w:szCs w:val="16"/>
                <w:shd w:val="clear" w:color="auto" w:fill="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1"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7</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行政执法“宜企行动”。聚焦食品药品、医疗保障、公共卫生、自然资源、生态环境、安全生产、交通运输等重点执法领域，通过联合监督、靶向监督、实地监督等方式，集中整治运动式执法、“一刀切”执法、机械执法、暴力执法、逐利执法、选择性执法等突出问题，切实提升全省各级行政执法机关严格规范公正文明执法水平。</w:t>
            </w:r>
          </w:p>
          <w:p>
            <w:pPr>
              <w:jc w:val="both"/>
              <w:rPr>
                <w:rFonts w:hint="eastAsia" w:ascii="宋体" w:hAnsi="宋体" w:eastAsia="宋体" w:cs="宋体"/>
                <w:sz w:val="18"/>
                <w:szCs w:val="18"/>
                <w:lang w:val="en-US" w:eastAsia="zh-CN"/>
              </w:rPr>
            </w:pP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省司法厅牵头，中省直各相关部门及各市、县级政府按职责分工负责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督促各地部门落实市委依法治市办印发的《关于转发省委依法治省办〈关于开展行政执法“宜企行动”专项监督工作方案〉的通知》，加强行政执法监督，有效解决人民群众反映强烈的行政执法领域“微腐败”等突出问题。</w:t>
            </w:r>
          </w:p>
          <w:p>
            <w:pPr>
              <w:jc w:val="both"/>
              <w:rPr>
                <w:rFonts w:hint="eastAsia" w:ascii="宋体" w:hAnsi="宋体" w:eastAsia="宋体" w:cs="宋体"/>
                <w:sz w:val="18"/>
                <w:szCs w:val="18"/>
                <w:lang w:val="en-US" w:eastAsia="zh-CN"/>
              </w:rPr>
            </w:pP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市司法局牵头，市直、中省直各相关部门及各县级政府按职责分工负责。</w:t>
            </w:r>
          </w:p>
        </w:tc>
        <w:tc>
          <w:tcPr>
            <w:tcW w:w="225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督促各部门落实市委依法治市办印发的《关于转发省委依法治省办〈关于开展行政执法“宜企行动”专项监督工作方案〉的通知》，加强行政执法监督，有效解决人民群众反映强烈的行政执法领域“微腐败”等突出问题。</w:t>
            </w:r>
          </w:p>
        </w:tc>
        <w:tc>
          <w:tcPr>
            <w:tcW w:w="127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严格审批各行政执法部门年度抽查计划、临时检查计划，杜绝计划外检查。</w:t>
            </w: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按照《吉林省行政执法监督条例》规定，开展日常监督、专项监督工作。</w:t>
            </w:r>
          </w:p>
        </w:tc>
        <w:tc>
          <w:tcPr>
            <w:tcW w:w="809"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按照《吉林省行政执法监督条例》规定，开展日常监督、专项监督工作。</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按照《吉林省行政执法监督条例》开展年度行政执法检查。</w:t>
            </w: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县司法局牵头，县直、中省直各相关部门及各乡镇政府按职责分工负责</w:t>
            </w: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杨学军13843972806</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周自恒13843975607</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2445"/>
        <w:gridCol w:w="851"/>
        <w:gridCol w:w="942"/>
        <w:gridCol w:w="900"/>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6"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省任务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市级责任部门</w:t>
            </w:r>
          </w:p>
        </w:tc>
        <w:tc>
          <w:tcPr>
            <w:tcW w:w="2445" w:type="dxa"/>
            <w:vMerge w:val="restart"/>
            <w:tcBorders>
              <w:right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县级任务</w:t>
            </w:r>
          </w:p>
        </w:tc>
        <w:tc>
          <w:tcPr>
            <w:tcW w:w="3611" w:type="dxa"/>
            <w:gridSpan w:val="4"/>
            <w:tcBorders>
              <w:left w:val="single" w:color="auto" w:sz="4" w:space="0"/>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5"/>
                <w:szCs w:val="15"/>
                <w:lang w:val="en-US" w:eastAsia="zh-CN"/>
              </w:rPr>
            </w:pPr>
            <w:r>
              <w:rPr>
                <w:rFonts w:hint="eastAsia" w:ascii="宋体" w:hAnsi="宋体" w:eastAsia="宋体" w:cs="宋体"/>
                <w:b w:val="0"/>
                <w:bCs w:val="0"/>
                <w:sz w:val="15"/>
                <w:szCs w:val="15"/>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3"/>
                <w:szCs w:val="13"/>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5"/>
                <w:szCs w:val="15"/>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5"/>
                <w:szCs w:val="15"/>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5"/>
                <w:szCs w:val="15"/>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5"/>
                <w:szCs w:val="15"/>
                <w:lang w:val="en-US" w:eastAsia="zh-CN"/>
              </w:rPr>
            </w:pPr>
          </w:p>
        </w:tc>
        <w:tc>
          <w:tcPr>
            <w:tcW w:w="1176" w:type="dxa"/>
            <w:vMerge w:val="continue"/>
            <w:noWrap w:val="0"/>
            <w:vAlign w:val="center"/>
          </w:tcPr>
          <w:p>
            <w:pPr>
              <w:jc w:val="center"/>
              <w:rPr>
                <w:rFonts w:hint="eastAsia" w:ascii="宋体" w:hAnsi="宋体" w:eastAsia="宋体" w:cs="宋体"/>
                <w:b w:val="0"/>
                <w:bCs w:val="0"/>
                <w:sz w:val="15"/>
                <w:szCs w:val="15"/>
                <w:lang w:val="en-US" w:eastAsia="zh-CN"/>
              </w:rPr>
            </w:pPr>
          </w:p>
        </w:tc>
        <w:tc>
          <w:tcPr>
            <w:tcW w:w="2445" w:type="dxa"/>
            <w:vMerge w:val="continue"/>
            <w:tcBorders>
              <w:right w:val="single" w:color="auto" w:sz="4" w:space="0"/>
            </w:tcBorders>
            <w:noWrap w:val="0"/>
            <w:vAlign w:val="center"/>
          </w:tcPr>
          <w:p>
            <w:pPr>
              <w:jc w:val="center"/>
              <w:rPr>
                <w:rFonts w:hint="eastAsia" w:ascii="宋体" w:hAnsi="宋体" w:eastAsia="宋体" w:cs="宋体"/>
                <w:b w:val="0"/>
                <w:bCs w:val="0"/>
                <w:sz w:val="15"/>
                <w:szCs w:val="15"/>
                <w:lang w:val="en-US" w:eastAsia="zh-CN"/>
              </w:rPr>
            </w:pPr>
          </w:p>
        </w:tc>
        <w:tc>
          <w:tcPr>
            <w:tcW w:w="851" w:type="dxa"/>
            <w:tcBorders>
              <w:top w:val="single" w:color="auto" w:sz="4" w:space="0"/>
              <w:left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第一季度</w:t>
            </w:r>
          </w:p>
        </w:tc>
        <w:tc>
          <w:tcPr>
            <w:tcW w:w="942"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5"/>
                <w:szCs w:val="15"/>
                <w:lang w:val="en-US" w:eastAsia="zh-CN"/>
              </w:rPr>
            </w:pPr>
            <w:r>
              <w:rPr>
                <w:rFonts w:hint="eastAsia" w:ascii="宋体" w:hAnsi="宋体" w:eastAsia="宋体" w:cs="宋体"/>
                <w:b w:val="0"/>
                <w:bCs w:val="0"/>
                <w:sz w:val="15"/>
                <w:szCs w:val="15"/>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5"/>
                <w:szCs w:val="15"/>
                <w:lang w:val="en-US" w:eastAsia="zh-CN"/>
              </w:rPr>
            </w:pPr>
          </w:p>
        </w:tc>
        <w:tc>
          <w:tcPr>
            <w:tcW w:w="896" w:type="dxa"/>
            <w:vMerge w:val="continue"/>
            <w:noWrap w:val="0"/>
            <w:vAlign w:val="center"/>
          </w:tcPr>
          <w:p>
            <w:pPr>
              <w:jc w:val="center"/>
              <w:rPr>
                <w:rFonts w:hint="eastAsia" w:ascii="宋体" w:hAnsi="宋体" w:eastAsia="宋体" w:cs="宋体"/>
                <w:b w:val="0"/>
                <w:bCs w:val="0"/>
                <w:sz w:val="15"/>
                <w:szCs w:val="15"/>
                <w:lang w:val="en-US" w:eastAsia="zh-CN"/>
              </w:rPr>
            </w:pPr>
          </w:p>
        </w:tc>
        <w:tc>
          <w:tcPr>
            <w:tcW w:w="965" w:type="dxa"/>
            <w:vMerge w:val="continue"/>
            <w:noWrap w:val="0"/>
            <w:vAlign w:val="center"/>
          </w:tcPr>
          <w:p>
            <w:pPr>
              <w:jc w:val="center"/>
              <w:rPr>
                <w:rFonts w:hint="eastAsia" w:ascii="宋体" w:hAnsi="宋体" w:eastAsia="宋体" w:cs="宋体"/>
                <w:b w:val="0"/>
                <w:bCs w:val="0"/>
                <w:sz w:val="15"/>
                <w:szCs w:val="15"/>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8"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8</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强化行政执法监督。深入彻落实 《吉林省行政执法监督条例》，加强省市县乡四级全覆盖的行政执法协调监督工作体系建设。全面落实行政执法“三项制度”，依法编制行政执法事项清单和行政执法“四张流程图”，健全行政执法案例指导制度，建立完善守信践诺机制，降低行政应诉败诉率，积极探索跨领域跨部门联合监督模式，逐步形成制度完善、机制健全、监督有力、运转顺畅的行政执法监督工作体系，实现执法质量和群众满意度“双提升”。</w:t>
            </w: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中省直各相关</w:t>
            </w:r>
          </w:p>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部门及各市、县级政府按职责分工负责</w:t>
            </w:r>
          </w:p>
        </w:tc>
        <w:tc>
          <w:tcPr>
            <w:tcW w:w="1994" w:type="dxa"/>
            <w:tcBorders>
              <w:top w:val="single" w:color="auto" w:sz="4" w:space="0"/>
              <w:bottom w:val="single" w:color="auto" w:sz="4" w:space="0"/>
            </w:tcBorders>
            <w:noWrap w:val="0"/>
            <w:vAlign w:val="center"/>
          </w:tcPr>
          <w:p>
            <w:pPr>
              <w:numPr>
                <w:ilvl w:val="0"/>
                <w:numId w:val="0"/>
              </w:numPr>
              <w:jc w:val="both"/>
              <w:rPr>
                <w:rFonts w:hint="eastAsia" w:ascii="宋体" w:hAnsi="宋体" w:eastAsia="宋体" w:cs="宋体"/>
                <w:sz w:val="15"/>
                <w:szCs w:val="15"/>
                <w:lang w:val="en-US" w:eastAsia="zh-CN"/>
              </w:rPr>
            </w:pPr>
            <w:r>
              <w:rPr>
                <w:rFonts w:hint="eastAsia" w:ascii="宋体" w:hAnsi="宋体" w:cs="宋体"/>
                <w:sz w:val="15"/>
                <w:szCs w:val="15"/>
                <w:lang w:val="en-US" w:eastAsia="zh-CN"/>
              </w:rPr>
              <w:t>1.</w:t>
            </w:r>
            <w:r>
              <w:rPr>
                <w:rFonts w:hint="eastAsia" w:ascii="宋体" w:hAnsi="宋体" w:eastAsia="宋体" w:cs="宋体"/>
                <w:sz w:val="15"/>
                <w:szCs w:val="15"/>
                <w:lang w:val="en-US" w:eastAsia="zh-CN"/>
              </w:rPr>
              <w:t>督促各地各部门落实《关于贯彻落实〈吉林省行政执法监督条例〉的通知》，加强和规范行政执法监督工作，促进公正文明执法；2.督促各地各部门落实《白山市全面落实行政执法公示制度执法全过程记录制度重大执法决定法制审核制度实施办法》，持续推进落实行政执法“三项制度”，动态调整行政执法公示平台的公示内容。3.督促各地各部门落实《关于转发省司法厅〈关于组织开展编制行政执法事项清单工作的通知〉的通知》，动态调整行政执法事项清单；4.督促各地各部门落实《关于印发〈关于编制行政执法“四张流程图”的工作方案〉的通知》，动态调整行政执法“四张流程图”；5.督促各地各部门落实《白山市行政执法案例指导制度》，进一步落实包容审慎行政执法“四张清单”，推进依法行政。</w:t>
            </w:r>
          </w:p>
          <w:p>
            <w:pPr>
              <w:numPr>
                <w:ilvl w:val="0"/>
                <w:numId w:val="0"/>
              </w:numPr>
              <w:jc w:val="both"/>
              <w:rPr>
                <w:rFonts w:hint="eastAsia" w:ascii="宋体" w:hAnsi="宋体" w:eastAsia="宋体" w:cs="宋体"/>
                <w:sz w:val="15"/>
                <w:szCs w:val="15"/>
                <w:lang w:val="en-US" w:eastAsia="zh-CN"/>
              </w:rPr>
            </w:pPr>
          </w:p>
        </w:tc>
        <w:tc>
          <w:tcPr>
            <w:tcW w:w="1176" w:type="dxa"/>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市司法局牵头，市直、中省直各相关部门及各县级政府按职责分</w:t>
            </w:r>
          </w:p>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工负责。</w:t>
            </w:r>
          </w:p>
        </w:tc>
        <w:tc>
          <w:tcPr>
            <w:tcW w:w="2445" w:type="dxa"/>
            <w:noWrap w:val="0"/>
            <w:vAlign w:val="center"/>
          </w:tcPr>
          <w:p>
            <w:pPr>
              <w:numPr>
                <w:ilvl w:val="0"/>
                <w:numId w:val="2"/>
              </w:num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督促各部门落实《关于贯彻落实〈吉林省行政执法监督条例〉的通知》，加强和规范行政执法监督工作，促进公正文明执法；2.督促各部门落实《靖宇县政府全面落实行政执法公示制度执法全过程记录制度重大执法决定法制审核制度实施办法》，持续推进落实行政执法“三项制度”，动态调整行政执法公示平台的公示内容。3.督促各部门落实《关于转发省司法厅〈关于组织开展编制行政执法事项清单工作的通知〉的通知》，动态调整行政执法事项清单；4.督促各部门落实《关于印发〈关于编制行政执法“四张流程图”的工作方案〉的通知》，动态调整行政执法“四张流程图”；5.督促各部门落实《白山市行政执法案例指导制度》，进一步落实包审慎行政执法“四张清单”，推进依法行政。</w:t>
            </w:r>
          </w:p>
          <w:p>
            <w:pPr>
              <w:widowControl w:val="0"/>
              <w:numPr>
                <w:ilvl w:val="0"/>
                <w:numId w:val="0"/>
              </w:numPr>
              <w:jc w:val="both"/>
              <w:rPr>
                <w:rFonts w:hint="eastAsia" w:ascii="宋体" w:hAnsi="宋体" w:eastAsia="宋体" w:cs="宋体"/>
                <w:sz w:val="15"/>
                <w:szCs w:val="15"/>
                <w:lang w:val="en-US" w:eastAsia="zh-CN"/>
              </w:rPr>
            </w:pPr>
          </w:p>
        </w:tc>
        <w:tc>
          <w:tcPr>
            <w:tcW w:w="851" w:type="dxa"/>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督促落实，持续推进。</w:t>
            </w:r>
          </w:p>
        </w:tc>
        <w:tc>
          <w:tcPr>
            <w:tcW w:w="942" w:type="dxa"/>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督促落实，持续推进。</w:t>
            </w:r>
          </w:p>
        </w:tc>
        <w:tc>
          <w:tcPr>
            <w:tcW w:w="900" w:type="dxa"/>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督促落实，持续推进。</w:t>
            </w:r>
          </w:p>
        </w:tc>
        <w:tc>
          <w:tcPr>
            <w:tcW w:w="918" w:type="dxa"/>
            <w:tcBorders>
              <w:top w:val="single" w:color="auto" w:sz="4" w:space="0"/>
            </w:tcBorders>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开展年度行政执法检查，检查以上工作落实情况。</w:t>
            </w:r>
          </w:p>
        </w:tc>
        <w:tc>
          <w:tcPr>
            <w:tcW w:w="896" w:type="dxa"/>
            <w:tcBorders>
              <w:top w:val="single" w:color="auto" w:sz="4" w:space="0"/>
            </w:tcBorders>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县司法局签头，县直、中省直各相关部门及各乡镇政府按职责分工负责</w:t>
            </w:r>
          </w:p>
        </w:tc>
        <w:tc>
          <w:tcPr>
            <w:tcW w:w="896" w:type="dxa"/>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杨学军13843972806</w:t>
            </w:r>
          </w:p>
        </w:tc>
        <w:tc>
          <w:tcPr>
            <w:tcW w:w="965" w:type="dxa"/>
            <w:noWrap w:val="0"/>
            <w:vAlign w:val="center"/>
          </w:tcPr>
          <w:p>
            <w:pPr>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省级任务</w:t>
            </w:r>
          </w:p>
          <w:p>
            <w:pPr>
              <w:spacing w:before="58" w:line="239" w:lineRule="auto"/>
              <w:ind w:right="2" w:rightChars="0"/>
              <w:jc w:val="both"/>
              <w:rPr>
                <w:rFonts w:hint="eastAsia" w:ascii="宋体" w:hAnsi="宋体" w:eastAsia="宋体" w:cs="宋体"/>
                <w:b w:val="0"/>
                <w:bCs w:val="0"/>
                <w:sz w:val="16"/>
                <w:szCs w:val="16"/>
                <w:lang w:val="en-US" w:eastAsia="zh-CN"/>
              </w:rPr>
            </w:pP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2445" w:type="dxa"/>
            <w:vMerge w:val="restart"/>
            <w:tcBorders>
              <w:right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3611" w:type="dxa"/>
            <w:gridSpan w:val="4"/>
            <w:tcBorders>
              <w:left w:val="single" w:color="auto" w:sz="4" w:space="0"/>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117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445" w:type="dxa"/>
            <w:vMerge w:val="continue"/>
            <w:tcBorders>
              <w:right w:val="single" w:color="auto" w:sz="4" w:space="0"/>
            </w:tcBorders>
            <w:noWrap w:val="0"/>
            <w:vAlign w:val="center"/>
          </w:tcPr>
          <w:p>
            <w:pPr>
              <w:jc w:val="center"/>
              <w:rPr>
                <w:rFonts w:hint="eastAsia" w:ascii="宋体" w:hAnsi="宋体" w:eastAsia="宋体" w:cs="宋体"/>
                <w:b w:val="0"/>
                <w:bCs w:val="0"/>
                <w:sz w:val="16"/>
                <w:szCs w:val="16"/>
                <w:lang w:val="en-US" w:eastAsia="zh-CN"/>
              </w:rPr>
            </w:pPr>
          </w:p>
        </w:tc>
        <w:tc>
          <w:tcPr>
            <w:tcW w:w="851" w:type="dxa"/>
            <w:tcBorders>
              <w:top w:val="single" w:color="auto" w:sz="4" w:space="0"/>
              <w:left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第一季度</w:t>
            </w:r>
          </w:p>
        </w:tc>
        <w:tc>
          <w:tcPr>
            <w:tcW w:w="942"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rPr>
            </w:pP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965" w:type="dxa"/>
            <w:vMerge w:val="continue"/>
            <w:noWrap w:val="0"/>
            <w:vAlign w:val="center"/>
          </w:tcPr>
          <w:p>
            <w:pPr>
              <w:jc w:val="center"/>
              <w:rPr>
                <w:rFonts w:hint="eastAsia" w:ascii="宋体" w:hAnsi="宋体" w:eastAsia="宋体" w:cs="宋体"/>
                <w:b w:val="0"/>
                <w:bCs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0"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9</w:t>
            </w:r>
          </w:p>
        </w:tc>
        <w:tc>
          <w:tcPr>
            <w:tcW w:w="2324" w:type="dxa"/>
            <w:tcBorders>
              <w:top w:val="single" w:color="auto" w:sz="4" w:space="0"/>
              <w:bottom w:val="single" w:color="auto" w:sz="4" w:space="0"/>
            </w:tcBorders>
            <w:noWrap w:val="0"/>
            <w:vAlign w:val="center"/>
          </w:tcPr>
          <w:p>
            <w:pPr>
              <w:jc w:val="both"/>
              <w:rPr>
                <w:rFonts w:hint="eastAsia"/>
                <w:lang w:val="en-US" w:eastAsia="zh-CN"/>
              </w:rPr>
            </w:pPr>
            <w:r>
              <w:rPr>
                <w:rFonts w:hint="eastAsia" w:ascii="宋体" w:hAnsi="宋体" w:eastAsia="宋体" w:cs="宋体"/>
                <w:sz w:val="18"/>
                <w:szCs w:val="18"/>
                <w:lang w:val="en-US" w:eastAsia="zh-CN"/>
              </w:rPr>
              <w:t>实行公安机关“六项承诺”。即：对企业各类报警求助第一时间受理、第一时间处置，严禁推诿拖延，切实做到快速反应、有效处置；对破坏、干扰企业正常生产经营的违法犯罪行为“零容忍”，强力打击、依法严惩，切实维护企业合法权益；严密企业周边巡逻防控，及时排查化解涉企纠纷，协同做好内部安全防范，切实维护企业良好治安秩序；对涉企公安政务服务事项开展上门办、网上办、预约办、延时办，做到全时段、无障碍，切实提供最优质政务服务；对企业及其法定代表人、经营负责人，依法慎用查封、扣押、冻结等侦查措施和羁押性强制措施，切实防止过度执法影响企业生产经营；严禁各级公安机关领导干部、民警或辅警插手、干扰影响市场主体经营，一经发现严肃查处、绝不姑息。</w:t>
            </w:r>
          </w:p>
        </w:tc>
        <w:tc>
          <w:tcPr>
            <w:tcW w:w="989" w:type="dxa"/>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省公安厅负责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p>
          <w:p>
            <w:pPr>
              <w:jc w:val="both"/>
              <w:rPr>
                <w:rFonts w:hint="eastAsia"/>
                <w:lang w:val="en-US" w:eastAsia="zh-CN"/>
              </w:rPr>
            </w:pPr>
            <w:r>
              <w:rPr>
                <w:rFonts w:hint="eastAsia" w:ascii="宋体" w:hAnsi="宋体" w:eastAsia="宋体" w:cs="宋体"/>
                <w:sz w:val="16"/>
                <w:szCs w:val="16"/>
                <w:lang w:val="en-US" w:eastAsia="zh-CN"/>
              </w:rPr>
              <w:t xml:space="preserve">全面落实“六项承诺”，一是设立涉企案件专门接待窗口，及时审查案件情况，适当放宽接收证据标准，保障涉企案件及时接收审查、快速流转办理。二是强化企业周边巡逻防控，及时排查化解涉企纠纷，协同做好内部安全防范，切实维护企业良好治安秩序严厉打击破坏、干扰企业正常生产经营的违法犯罪行为，切实维护企业合法权益。三是落实对涉企公安政务服务事项开展上门办、网上办、预约办、延时办，做到全时段、无障碍，切实提供最优质政务服务。四是推进依法审慎办理涉企案件，稳慎适用查封、扣押、冻结和羁押性强制措施。五是开展常态化涉企案件专项巡查监督，及时纠正违规强制措施。六是针对各级公安机关领导干部、民警或辅警插手、干扰影响市场主体经营的，一经发现严肃查处。 </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市公安局负责</w:t>
            </w:r>
          </w:p>
        </w:tc>
        <w:tc>
          <w:tcPr>
            <w:tcW w:w="244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全面落实“六项承诺”，一是设立涉企案件专门接待窗口，及时审查案件情况，适当放宽接收证据标准，保障涉企案件及时接收审查、快速流转办理。二是强化企业周边巡逻防控，及时排查化解涉企纠纷，协同做好内部安全防范，切实维护企业良好治安秩序严厉打击破坏、干扰企业正常生产经营的违法犯罪行为，切实维护企业合法权益。三是落实对涉企公安政务服务事项开展上门办、网上办、预约办、延时办，做到全时段、无障碍，切实提供最优质政务服务。四是推进依法审慎办理涉企案件，稳慎适用查封、扣押、冻结和羁押性强制措施。五是开展常态化涉企案件专项巡查监督，及时纠正违规强制措施。六是针对各级公安机关领导干部、民警或辅警插手、干扰影响市场主体经营的，一经发现严肃查处。 </w:t>
            </w:r>
          </w:p>
        </w:tc>
        <w:tc>
          <w:tcPr>
            <w:tcW w:w="851"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依照相关要求，根据工作实际落实并完善“六项承诺”相关工作。</w:t>
            </w:r>
          </w:p>
        </w:tc>
        <w:tc>
          <w:tcPr>
            <w:tcW w:w="942"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依照相关要求，根据工作实际落实并完善“六项承诺”相关工作。</w:t>
            </w:r>
          </w:p>
        </w:tc>
        <w:tc>
          <w:tcPr>
            <w:tcW w:w="90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依照相关要求，根据工作实际落实并完善“六项承诺”相关工作。</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依照相关要求，根据工作实际落实并完善“六项承诺”相关工作。</w:t>
            </w: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县公安局</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负责</w:t>
            </w:r>
          </w:p>
        </w:tc>
        <w:tc>
          <w:tcPr>
            <w:tcW w:w="89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魏同波</w:t>
            </w:r>
          </w:p>
        </w:tc>
        <w:tc>
          <w:tcPr>
            <w:tcW w:w="96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刘家男</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18043907128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eastAsia="zh-CN"/>
              </w:rPr>
            </w:pPr>
            <w:r>
              <w:rPr>
                <w:rFonts w:hint="eastAsia" w:ascii="宋体" w:hAnsi="宋体" w:eastAsia="宋体" w:cs="宋体"/>
                <w:b w:val="0"/>
                <w:bCs w:val="0"/>
                <w:sz w:val="16"/>
                <w:szCs w:val="16"/>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eastAsia="zh-CN"/>
              </w:rPr>
            </w:pPr>
            <w:r>
              <w:rPr>
                <w:rFonts w:hint="eastAsia" w:ascii="宋体" w:hAnsi="宋体" w:eastAsia="宋体" w:cs="宋体"/>
                <w:b w:val="0"/>
                <w:bCs w:val="0"/>
                <w:sz w:val="16"/>
                <w:szCs w:val="16"/>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市级责任部门</w:t>
            </w:r>
          </w:p>
        </w:tc>
        <w:tc>
          <w:tcPr>
            <w:tcW w:w="2445"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县级任务</w:t>
            </w:r>
          </w:p>
        </w:tc>
        <w:tc>
          <w:tcPr>
            <w:tcW w:w="3611"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rPr>
            </w:pPr>
          </w:p>
        </w:tc>
        <w:tc>
          <w:tcPr>
            <w:tcW w:w="1176" w:type="dxa"/>
            <w:vMerge w:val="continue"/>
            <w:noWrap w:val="0"/>
            <w:vAlign w:val="center"/>
          </w:tcPr>
          <w:p>
            <w:pPr>
              <w:jc w:val="center"/>
              <w:rPr>
                <w:rFonts w:hint="eastAsia" w:ascii="宋体" w:hAnsi="宋体" w:eastAsia="宋体" w:cs="宋体"/>
                <w:b w:val="0"/>
                <w:bCs w:val="0"/>
                <w:sz w:val="16"/>
                <w:szCs w:val="16"/>
              </w:rPr>
            </w:pPr>
          </w:p>
        </w:tc>
        <w:tc>
          <w:tcPr>
            <w:tcW w:w="2445" w:type="dxa"/>
            <w:vMerge w:val="continue"/>
            <w:noWrap w:val="0"/>
            <w:vAlign w:val="center"/>
          </w:tcPr>
          <w:p>
            <w:pPr>
              <w:jc w:val="center"/>
              <w:rPr>
                <w:rFonts w:hint="eastAsia" w:ascii="宋体" w:hAnsi="宋体" w:eastAsia="宋体" w:cs="宋体"/>
                <w:b w:val="0"/>
                <w:bCs w:val="0"/>
                <w:sz w:val="16"/>
                <w:szCs w:val="16"/>
              </w:rPr>
            </w:pPr>
          </w:p>
        </w:tc>
        <w:tc>
          <w:tcPr>
            <w:tcW w:w="851"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第一季度</w:t>
            </w:r>
          </w:p>
        </w:tc>
        <w:tc>
          <w:tcPr>
            <w:tcW w:w="942"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05"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10</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开展涉企行政检察监督专项行动。制定专项行动方案，明确工作重点和实施步骤。通过全省三级检察机关及时有效监督，纠正行政机关涉企行政违法行为，保障涉企行政行为依法合规。</w:t>
            </w: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省检察院负责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1.构建行政诉讼监督和行政违法行为监督“双轮驱动”的工作格局；2.发挥检察“一体化”机制优势； 3.综合运用检察建议、检察宣告、公开听证、专家咨询、行政规范性文件审查等多元化监督手段。</w:t>
            </w:r>
          </w:p>
        </w:tc>
        <w:tc>
          <w:tcPr>
            <w:tcW w:w="117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市检察院</w:t>
            </w:r>
          </w:p>
        </w:tc>
        <w:tc>
          <w:tcPr>
            <w:tcW w:w="244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1.构建行政诉讼监督和行政违法行为监督“双轮驱动”的工作格局；2.发挥检察“一体化”机制优势；3.综合运用检察建议、检察宣告、公开听证、专家咨询、行政规范性文件审查等多元化监督手段。</w:t>
            </w:r>
          </w:p>
        </w:tc>
        <w:tc>
          <w:tcPr>
            <w:tcW w:w="851"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贯彻落实白山市检察机关涉企、行政处罚、行政检察监督专项活动方案</w:t>
            </w:r>
          </w:p>
        </w:tc>
        <w:tc>
          <w:tcPr>
            <w:tcW w:w="942"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通过听证会等手段，注重从行业治理、风险预防的角度，深入剖析典型案件，反映出的倾向性问题和管理漏洞，提出社会治理类检察建议。</w:t>
            </w:r>
          </w:p>
        </w:tc>
        <w:tc>
          <w:tcPr>
            <w:tcW w:w="90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对涉企行政案件进行质量评查。</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总结涉企行政处罚检察监督典型案例。</w:t>
            </w:r>
          </w:p>
        </w:tc>
        <w:tc>
          <w:tcPr>
            <w:tcW w:w="896" w:type="dxa"/>
            <w:tcBorders>
              <w:top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县检察院</w:t>
            </w:r>
          </w:p>
        </w:tc>
        <w:tc>
          <w:tcPr>
            <w:tcW w:w="89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孙慧</w:t>
            </w:r>
          </w:p>
        </w:tc>
        <w:tc>
          <w:tcPr>
            <w:tcW w:w="96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马新欣13278297775</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1762"/>
        <w:gridCol w:w="1765"/>
        <w:gridCol w:w="711"/>
        <w:gridCol w:w="900"/>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jc w:val="center"/>
        </w:trPr>
        <w:tc>
          <w:tcPr>
            <w:tcW w:w="383"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eastAsia="zh-CN"/>
              </w:rPr>
            </w:pPr>
            <w:r>
              <w:rPr>
                <w:rFonts w:hint="eastAsia" w:ascii="宋体" w:hAnsi="宋体" w:eastAsia="宋体" w:cs="宋体"/>
                <w:b w:val="0"/>
                <w:bCs w:val="0"/>
                <w:sz w:val="16"/>
                <w:szCs w:val="16"/>
                <w:lang w:val="en-US" w:eastAsia="zh-CN"/>
              </w:rPr>
              <w:t>序 号</w:t>
            </w:r>
          </w:p>
        </w:tc>
        <w:tc>
          <w:tcPr>
            <w:tcW w:w="232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eastAsia="zh-CN"/>
              </w:rPr>
            </w:pPr>
            <w:r>
              <w:rPr>
                <w:rFonts w:hint="eastAsia" w:ascii="宋体" w:hAnsi="宋体" w:eastAsia="宋体" w:cs="宋体"/>
                <w:b w:val="0"/>
                <w:bCs w:val="0"/>
                <w:sz w:val="16"/>
                <w:szCs w:val="16"/>
                <w:lang w:val="en-US" w:eastAsia="zh-CN"/>
              </w:rPr>
              <w:t>省级任务</w:t>
            </w:r>
          </w:p>
        </w:tc>
        <w:tc>
          <w:tcPr>
            <w:tcW w:w="989"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省级负责部门</w:t>
            </w:r>
          </w:p>
        </w:tc>
        <w:tc>
          <w:tcPr>
            <w:tcW w:w="1994"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市级责任部门</w:t>
            </w:r>
          </w:p>
        </w:tc>
        <w:tc>
          <w:tcPr>
            <w:tcW w:w="1762"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县级任务</w:t>
            </w:r>
          </w:p>
        </w:tc>
        <w:tc>
          <w:tcPr>
            <w:tcW w:w="4294"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进度安排</w:t>
            </w:r>
          </w:p>
        </w:tc>
        <w:tc>
          <w:tcPr>
            <w:tcW w:w="896" w:type="dxa"/>
            <w:vMerge w:val="restart"/>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83"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eastAsia="zh-CN"/>
              </w:rPr>
            </w:pPr>
          </w:p>
        </w:tc>
        <w:tc>
          <w:tcPr>
            <w:tcW w:w="232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lang w:eastAsia="zh-CN"/>
              </w:rPr>
            </w:pPr>
          </w:p>
        </w:tc>
        <w:tc>
          <w:tcPr>
            <w:tcW w:w="989"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rPr>
            </w:pPr>
          </w:p>
        </w:tc>
        <w:tc>
          <w:tcPr>
            <w:tcW w:w="1994" w:type="dxa"/>
            <w:vMerge w:val="continue"/>
            <w:tcBorders>
              <w:bottom w:val="single" w:color="auto" w:sz="4" w:space="0"/>
            </w:tcBorders>
            <w:noWrap w:val="0"/>
            <w:vAlign w:val="center"/>
          </w:tcPr>
          <w:p>
            <w:pPr>
              <w:jc w:val="center"/>
              <w:rPr>
                <w:rFonts w:hint="eastAsia" w:ascii="宋体" w:hAnsi="宋体" w:eastAsia="宋体" w:cs="宋体"/>
                <w:b w:val="0"/>
                <w:bCs w:val="0"/>
                <w:sz w:val="16"/>
                <w:szCs w:val="16"/>
              </w:rPr>
            </w:pPr>
          </w:p>
        </w:tc>
        <w:tc>
          <w:tcPr>
            <w:tcW w:w="1176" w:type="dxa"/>
            <w:vMerge w:val="continue"/>
            <w:noWrap w:val="0"/>
            <w:vAlign w:val="center"/>
          </w:tcPr>
          <w:p>
            <w:pPr>
              <w:jc w:val="center"/>
              <w:rPr>
                <w:rFonts w:hint="eastAsia" w:ascii="宋体" w:hAnsi="宋体" w:eastAsia="宋体" w:cs="宋体"/>
                <w:b w:val="0"/>
                <w:bCs w:val="0"/>
                <w:sz w:val="16"/>
                <w:szCs w:val="16"/>
              </w:rPr>
            </w:pPr>
          </w:p>
        </w:tc>
        <w:tc>
          <w:tcPr>
            <w:tcW w:w="1762" w:type="dxa"/>
            <w:vMerge w:val="continue"/>
            <w:noWrap w:val="0"/>
            <w:vAlign w:val="center"/>
          </w:tcPr>
          <w:p>
            <w:pPr>
              <w:jc w:val="center"/>
              <w:rPr>
                <w:rFonts w:hint="eastAsia" w:ascii="宋体" w:hAnsi="宋体" w:eastAsia="宋体" w:cs="宋体"/>
                <w:b w:val="0"/>
                <w:bCs w:val="0"/>
                <w:sz w:val="16"/>
                <w:szCs w:val="16"/>
              </w:rPr>
            </w:pPr>
          </w:p>
        </w:tc>
        <w:tc>
          <w:tcPr>
            <w:tcW w:w="1765"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第一季度</w:t>
            </w:r>
          </w:p>
        </w:tc>
        <w:tc>
          <w:tcPr>
            <w:tcW w:w="711"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jc w:val="center"/>
        </w:trPr>
        <w:tc>
          <w:tcPr>
            <w:tcW w:w="383" w:type="dxa"/>
            <w:tcBorders>
              <w:top w:val="single" w:color="auto" w:sz="4" w:space="0"/>
              <w:bottom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232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推动涉案企业合规改革提质增效。深化涉案企业合规改革，健全完善合规改革制度，推进合规案件办理，强化第三方监督评估机制的适用，促进企业合规守法经营，减少和预防企业犯罪。 </w:t>
            </w:r>
          </w:p>
        </w:tc>
        <w:tc>
          <w:tcPr>
            <w:tcW w:w="989"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省检察院负责</w:t>
            </w:r>
          </w:p>
        </w:tc>
        <w:tc>
          <w:tcPr>
            <w:tcW w:w="1994" w:type="dxa"/>
            <w:tcBorders>
              <w:top w:val="single" w:color="auto" w:sz="4" w:space="0"/>
              <w:bottom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规范适用第三方监督评估机制办案的流程，加强第三方监督评估机制管理中心成员单位协作配合，提升办案质效。 </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市检察院</w:t>
            </w:r>
          </w:p>
        </w:tc>
        <w:tc>
          <w:tcPr>
            <w:tcW w:w="1762"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规范适用第三方监督评估机制办案的流程，加强第三方监督评估机制管理中心成员单位协作配合，提升办案质效。</w:t>
            </w:r>
          </w:p>
        </w:tc>
        <w:tc>
          <w:tcPr>
            <w:tcW w:w="17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召开涉案企业合规专业人员培训，凝聚共识。</w:t>
            </w:r>
          </w:p>
        </w:tc>
        <w:tc>
          <w:tcPr>
            <w:tcW w:w="711"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办理涉案企业合规案件，规范使用第三方监督机制。</w:t>
            </w:r>
          </w:p>
        </w:tc>
        <w:tc>
          <w:tcPr>
            <w:tcW w:w="90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培训推送涉案企业合规典型案例。</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总结涉案企业合规制度，开展工作经验及存在问题。</w:t>
            </w: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县检察院</w:t>
            </w: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荆绍帅</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郑璐15500200400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jc w:val="center"/>
        </w:trPr>
        <w:tc>
          <w:tcPr>
            <w:tcW w:w="383" w:type="dxa"/>
            <w:tcBorders>
              <w:top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2324"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施商事案件审判质效提升工程。严格落实立案登记制，全面推行线上线下多元立案模式，坚决杜绝不立案、拖延立案、增设门槛、搞变通限制立案等现象。充分发挥人民法院在线调解平台作用，大力推进民商事纠纷在线多元化解，为当事人提供更高效率、更低成本的纠纷解决路径。建立完善审判监督管理常态化工作机制，强化审限监管，减少商事案件审判用时。</w:t>
            </w:r>
          </w:p>
        </w:tc>
        <w:tc>
          <w:tcPr>
            <w:tcW w:w="989"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省法院负责</w:t>
            </w:r>
          </w:p>
        </w:tc>
        <w:tc>
          <w:tcPr>
            <w:tcW w:w="1994"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1.推行移动微法院、吉林电子法院等网上立案方式，做到线上线下多元立案。出台立案规范，做到有案必立，有诉必理。推进“全域通办”实施，减少当事人诉累； </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2.积极构建人民调解、行政调解、行业调解等非诉讼纠纷解决方式相互衔接、相互配合的矛盾纠纷解决机制，努力将矛盾化解在源头； </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3.完善审判流程管理，严格规范审批程序，杜绝案件超审限。建立长期未结案件台账，努力缩短办案时间。 </w:t>
            </w:r>
          </w:p>
        </w:tc>
        <w:tc>
          <w:tcPr>
            <w:tcW w:w="117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市法院</w:t>
            </w:r>
          </w:p>
        </w:tc>
        <w:tc>
          <w:tcPr>
            <w:tcW w:w="1762"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1.推行移动微法院、吉林电子法院等网上立案方式，做到线上线下多元立案。出台立案规范，做到有案必立，有诉必理。推进“全域通办”实施，减少当事人诉累；</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2.积极构建人民调解、行政调解、行业调解等非诉讼纠纷解决方式相互衔接、相互配合的矛盾纠纷解决机制，努力将矛盾化解在源头； </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3.完善审判流程管理，严格规范审批程序，杜绝案件超审限。建立长期未结案件台账，努力缩短办案时间。 </w:t>
            </w:r>
          </w:p>
        </w:tc>
        <w:tc>
          <w:tcPr>
            <w:tcW w:w="17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推行移动微法院、吉林电子法院等网上立案方式，做到线上线下多元立案；出台立案规范，做到有案必立，有诉必理；推进“全域通办”实施，减少当事人诉累；2.积极构建人民调解、行政调解、行业调解等非诉讼纠纷 解决方式相互衔接、相互配合的矛盾纠纷解决机制，努力将矛盾化解在源头；3.完善审判流程管理，严格规范审批程序，杜绝案件超审限。建立长期未结案件台账，努力缩短办案时间。</w:t>
            </w:r>
          </w:p>
        </w:tc>
        <w:tc>
          <w:tcPr>
            <w:tcW w:w="711"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长期开展即时完成。</w:t>
            </w:r>
          </w:p>
        </w:tc>
        <w:tc>
          <w:tcPr>
            <w:tcW w:w="90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长期开展即时完成。</w:t>
            </w:r>
          </w:p>
        </w:tc>
        <w:tc>
          <w:tcPr>
            <w:tcW w:w="918"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长期开展即时完成。</w:t>
            </w:r>
          </w:p>
        </w:tc>
        <w:tc>
          <w:tcPr>
            <w:tcW w:w="896" w:type="dxa"/>
            <w:tcBorders>
              <w:top w:val="single" w:color="auto" w:sz="4" w:space="0"/>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县法院</w:t>
            </w:r>
          </w:p>
        </w:tc>
        <w:tc>
          <w:tcPr>
            <w:tcW w:w="896"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李作俊</w:t>
            </w:r>
          </w:p>
        </w:tc>
        <w:tc>
          <w:tcPr>
            <w:tcW w:w="9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张诗涵</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100206121</w:t>
            </w: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李思曈</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15500200916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9" w:hRule="atLeast"/>
          <w:jc w:val="center"/>
        </w:trPr>
        <w:tc>
          <w:tcPr>
            <w:tcW w:w="383"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199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1762"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4294"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jc w:val="center"/>
        </w:trPr>
        <w:tc>
          <w:tcPr>
            <w:tcW w:w="383"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noWrap w:val="0"/>
            <w:vAlign w:val="center"/>
          </w:tcPr>
          <w:p>
            <w:pPr>
              <w:keepNext w:val="0"/>
              <w:keepLines w:val="0"/>
              <w:widowControl/>
              <w:suppressLineNumbers w:val="0"/>
              <w:jc w:val="both"/>
              <w:rPr>
                <w:rFonts w:hint="eastAsia" w:ascii="宋体" w:hAnsi="宋体" w:eastAsia="宋体" w:cs="宋体"/>
                <w:b w:val="0"/>
                <w:bCs w:val="0"/>
                <w:snapToGrid w:val="0"/>
                <w:color w:val="000000"/>
                <w:kern w:val="0"/>
                <w:sz w:val="16"/>
                <w:szCs w:val="16"/>
                <w:lang w:val="en-US" w:eastAsia="zh-CN" w:bidi="ar"/>
              </w:rPr>
            </w:pPr>
          </w:p>
        </w:tc>
        <w:tc>
          <w:tcPr>
            <w:tcW w:w="989"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994"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17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762"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765"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第一季度</w:t>
            </w:r>
          </w:p>
        </w:tc>
        <w:tc>
          <w:tcPr>
            <w:tcW w:w="711"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5" w:hRule="atLeast"/>
          <w:jc w:val="center"/>
        </w:trPr>
        <w:tc>
          <w:tcPr>
            <w:tcW w:w="383"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2324"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完善破产审判工作机制。完善常态化破产审判府院联动机制，服务保障我省国有经济布局优化调整。强化破产重整识别工作机制、提升破产企业财产处置效率，提升破产清偿率，缩短破产办理周期。建立省级破产管理人名册，加强对破产管理人监督</w:t>
            </w:r>
            <w:r>
              <w:rPr>
                <w:rFonts w:hint="eastAsia" w:ascii="宋体" w:hAnsi="宋体" w:eastAsia="宋体" w:cs="宋体"/>
                <w:sz w:val="18"/>
                <w:szCs w:val="18"/>
                <w:lang w:eastAsia="zh-CN"/>
              </w:rPr>
              <w:t>。</w:t>
            </w:r>
          </w:p>
        </w:tc>
        <w:tc>
          <w:tcPr>
            <w:tcW w:w="98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省法院负责</w:t>
            </w:r>
          </w:p>
        </w:tc>
        <w:tc>
          <w:tcPr>
            <w:tcW w:w="1994"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完善常态化破产审判府院联动机制，服务保障我市国有经济布局优化调整。强化破产重整识别工作机制、提升破产企业财产处置效率，提升破产清偿率，缩短破产办理周期。建立市级破产管理人名册，加强对破产管理人监督。</w:t>
            </w:r>
          </w:p>
        </w:tc>
        <w:tc>
          <w:tcPr>
            <w:tcW w:w="117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市法院</w:t>
            </w:r>
          </w:p>
        </w:tc>
        <w:tc>
          <w:tcPr>
            <w:tcW w:w="1762"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6"/>
                <w:szCs w:val="16"/>
                <w:lang w:val="en-US" w:eastAsia="zh-CN" w:bidi="ar"/>
              </w:rPr>
              <w:t>完善常态化破产审判府院联动机制，服务保障我县国有经济布局优化调整。强化破产重整识别工作机制、提升破产企业财产处置效率，提升破产清偿率，缩短破产办理周期。建立县级破产管理人名册，加强对破产管理人监督。</w:t>
            </w:r>
          </w:p>
        </w:tc>
        <w:tc>
          <w:tcPr>
            <w:tcW w:w="1765" w:type="dxa"/>
            <w:noWrap w:val="0"/>
            <w:vAlign w:val="center"/>
          </w:tcPr>
          <w:p>
            <w:pPr>
              <w:keepNext w:val="0"/>
              <w:keepLines w:val="0"/>
              <w:widowControl/>
              <w:suppressLineNumbers w:val="0"/>
              <w:jc w:val="both"/>
              <w:rPr>
                <w:rFonts w:hint="eastAsia" w:ascii="宋体" w:hAnsi="宋体" w:eastAsia="宋体" w:cs="宋体"/>
                <w:sz w:val="18"/>
                <w:szCs w:val="18"/>
              </w:rPr>
            </w:pPr>
            <w:r>
              <w:rPr>
                <w:rFonts w:hint="eastAsia" w:ascii="宋体" w:hAnsi="宋体" w:eastAsia="宋体" w:cs="宋体"/>
                <w:snapToGrid w:val="0"/>
                <w:color w:val="000000"/>
                <w:kern w:val="0"/>
                <w:sz w:val="18"/>
                <w:szCs w:val="18"/>
                <w:lang w:val="en-US" w:eastAsia="zh-CN" w:bidi="ar"/>
              </w:rPr>
              <w:t xml:space="preserve">1.对重点破产案件保持常态化府院联动； </w:t>
            </w:r>
          </w:p>
          <w:p>
            <w:pPr>
              <w:keepNext w:val="0"/>
              <w:keepLines w:val="0"/>
              <w:widowControl/>
              <w:suppressLineNumbers w:val="0"/>
              <w:jc w:val="both"/>
              <w:rPr>
                <w:rFonts w:hint="eastAsia" w:ascii="宋体" w:hAnsi="宋体" w:eastAsia="宋体" w:cs="宋体"/>
                <w:sz w:val="18"/>
                <w:szCs w:val="18"/>
              </w:rPr>
            </w:pPr>
            <w:r>
              <w:rPr>
                <w:rFonts w:hint="eastAsia" w:ascii="宋体" w:hAnsi="宋体" w:eastAsia="宋体" w:cs="宋体"/>
                <w:snapToGrid w:val="0"/>
                <w:color w:val="000000"/>
                <w:kern w:val="0"/>
                <w:sz w:val="18"/>
                <w:szCs w:val="18"/>
                <w:lang w:val="en-US" w:eastAsia="zh-CN" w:bidi="ar"/>
              </w:rPr>
              <w:t xml:space="preserve">2.依法办理破产案件，在法定期限内尽量缩短案件办理周期； </w:t>
            </w:r>
          </w:p>
          <w:p>
            <w:pPr>
              <w:keepNext w:val="0"/>
              <w:keepLines w:val="0"/>
              <w:widowControl/>
              <w:suppressLineNumbers w:val="0"/>
              <w:jc w:val="both"/>
              <w:rPr>
                <w:rFonts w:hint="eastAsia" w:ascii="宋体" w:hAnsi="宋体" w:eastAsia="宋体" w:cs="宋体"/>
                <w:sz w:val="18"/>
                <w:szCs w:val="18"/>
              </w:rPr>
            </w:pPr>
            <w:r>
              <w:rPr>
                <w:rFonts w:hint="eastAsia" w:ascii="宋体" w:hAnsi="宋体" w:eastAsia="宋体" w:cs="宋体"/>
                <w:snapToGrid w:val="0"/>
                <w:color w:val="000000"/>
                <w:kern w:val="0"/>
                <w:sz w:val="18"/>
                <w:szCs w:val="18"/>
                <w:lang w:val="en-US" w:eastAsia="zh-CN" w:bidi="ar"/>
              </w:rPr>
              <w:t>3.严格落实破产管理人考核制度，加强对破产管理人的监管。</w:t>
            </w:r>
          </w:p>
        </w:tc>
        <w:tc>
          <w:tcPr>
            <w:tcW w:w="711"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长期开展即时完成。</w:t>
            </w:r>
          </w:p>
        </w:tc>
        <w:tc>
          <w:tcPr>
            <w:tcW w:w="900"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长期开展即时完成。</w:t>
            </w:r>
          </w:p>
        </w:tc>
        <w:tc>
          <w:tcPr>
            <w:tcW w:w="918"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长期开展即时完成。</w:t>
            </w:r>
          </w:p>
        </w:tc>
        <w:tc>
          <w:tcPr>
            <w:tcW w:w="89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县法院</w:t>
            </w:r>
          </w:p>
        </w:tc>
        <w:tc>
          <w:tcPr>
            <w:tcW w:w="89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李作俊</w:t>
            </w:r>
          </w:p>
        </w:tc>
        <w:tc>
          <w:tcPr>
            <w:tcW w:w="96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张诗涵</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100206121</w:t>
            </w: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李思曈</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15500200916</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1994"/>
        <w:gridCol w:w="1176"/>
        <w:gridCol w:w="1762"/>
        <w:gridCol w:w="1765"/>
        <w:gridCol w:w="711"/>
        <w:gridCol w:w="900"/>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383"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199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117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1762"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4294"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383"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noWrap w:val="0"/>
            <w:vAlign w:val="center"/>
          </w:tcPr>
          <w:p>
            <w:pPr>
              <w:keepNext w:val="0"/>
              <w:keepLines w:val="0"/>
              <w:widowControl/>
              <w:suppressLineNumbers w:val="0"/>
              <w:jc w:val="both"/>
              <w:rPr>
                <w:rFonts w:hint="eastAsia" w:ascii="宋体" w:hAnsi="宋体" w:eastAsia="宋体" w:cs="宋体"/>
                <w:b w:val="0"/>
                <w:bCs w:val="0"/>
                <w:snapToGrid w:val="0"/>
                <w:color w:val="000000"/>
                <w:kern w:val="0"/>
                <w:sz w:val="16"/>
                <w:szCs w:val="16"/>
                <w:lang w:val="en-US" w:eastAsia="zh-CN" w:bidi="ar"/>
              </w:rPr>
            </w:pPr>
          </w:p>
        </w:tc>
        <w:tc>
          <w:tcPr>
            <w:tcW w:w="989"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994"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17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762"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765"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第一季度</w:t>
            </w:r>
          </w:p>
        </w:tc>
        <w:tc>
          <w:tcPr>
            <w:tcW w:w="711"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9" w:hRule="atLeast"/>
          <w:jc w:val="center"/>
        </w:trPr>
        <w:tc>
          <w:tcPr>
            <w:tcW w:w="383"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14</w:t>
            </w:r>
          </w:p>
        </w:tc>
        <w:tc>
          <w:tcPr>
            <w:tcW w:w="2324"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构建法治宣传融媒体平台。整合报纸、杂志、广播、电视等传统媒体和“两微一端”等新媒体资源，构建法治宣传融媒体平台，认真落实“谁执法、谁普法”普法责任制，以弘扬公平公正法治理念为重点，组织系列主题宣传活动，大力开展涉企政策宣传解读，推广优化法治营商环境的成功范例，发挥典型示范作用，讲好吉林法治化营商环境故事。</w:t>
            </w:r>
          </w:p>
        </w:tc>
        <w:tc>
          <w:tcPr>
            <w:tcW w:w="989"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各级司法行政部门</w:t>
            </w:r>
          </w:p>
        </w:tc>
        <w:tc>
          <w:tcPr>
            <w:tcW w:w="1994"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制定2023年度普法与依法治理工作要点，组织指导各地、各单位、各部门落实“谁主管谁普法、谁执法谁普法”责任制，积极开展法治宣传教育活动。2.利用传统媒体和新媒体等多种手段，探索宣传路径。3.开发普法产品，推广优化法治营商环境的成功案例。4.积极开展多种形式的法治宣传教育活动，切实提高公众参与度和关注度，促进普法质量和普法效率双提升。</w:t>
            </w:r>
          </w:p>
        </w:tc>
        <w:tc>
          <w:tcPr>
            <w:tcW w:w="1176"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市、县司法行政部门负责</w:t>
            </w:r>
          </w:p>
        </w:tc>
        <w:tc>
          <w:tcPr>
            <w:tcW w:w="1762"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6"/>
                <w:szCs w:val="16"/>
                <w:lang w:val="en-US" w:eastAsia="zh-CN" w:bidi="ar"/>
              </w:rPr>
              <w:t>1.制定2023年度普法与依法治理工作要点，组织指导各地、各单位、各部门落实“谁主管谁普法、谁执法谁普法”责任制，积极开展法治宣传教育活动。2.利用“靖宇普法”微信公众号、视频号和抖音号实时发布最新普法信息。3.拍摄“以案释法”系列法治宣传短视频，推广优化法治营商环境的成功案例。4.开展“法律进企业”活动，</w:t>
            </w:r>
            <w:r>
              <w:rPr>
                <w:rFonts w:hint="eastAsia" w:ascii="宋体" w:hAnsi="宋体" w:eastAsia="宋体" w:cs="宋体"/>
                <w:sz w:val="16"/>
                <w:szCs w:val="16"/>
                <w:lang w:val="en-US" w:eastAsia="zh-CN"/>
              </w:rPr>
              <w:t>大力开展涉企政策宣传解读，</w:t>
            </w:r>
            <w:r>
              <w:rPr>
                <w:rFonts w:hint="eastAsia" w:ascii="宋体" w:hAnsi="宋体" w:eastAsia="宋体" w:cs="宋体"/>
                <w:snapToGrid w:val="0"/>
                <w:color w:val="000000"/>
                <w:kern w:val="0"/>
                <w:sz w:val="16"/>
                <w:szCs w:val="16"/>
                <w:lang w:val="en-US" w:eastAsia="zh-CN" w:bidi="ar"/>
              </w:rPr>
              <w:t xml:space="preserve">为企业提供法治宣讲、法律咨询等服务，引导企业员工依法维权。 </w:t>
            </w:r>
          </w:p>
        </w:tc>
        <w:tc>
          <w:tcPr>
            <w:tcW w:w="1765"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制定2023年度普法与依法治理工作要点，组织指导各地、各单位、各部门落实“谁主管谁普法、谁执法谁普法”责任制，积极开展法治宣传教育活动。</w:t>
            </w:r>
          </w:p>
        </w:tc>
        <w:tc>
          <w:tcPr>
            <w:tcW w:w="711"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利用“靖宇普法”微信公众号、视频号和抖音号实时发布最新普法信息。</w:t>
            </w:r>
          </w:p>
          <w:p>
            <w:pPr>
              <w:jc w:val="both"/>
              <w:rPr>
                <w:rFonts w:hint="eastAsia" w:ascii="宋体" w:hAnsi="宋体" w:eastAsia="宋体" w:cs="宋体"/>
                <w:sz w:val="18"/>
                <w:szCs w:val="18"/>
                <w:lang w:val="en-US" w:eastAsia="zh-CN"/>
              </w:rPr>
            </w:pPr>
          </w:p>
        </w:tc>
        <w:tc>
          <w:tcPr>
            <w:tcW w:w="900"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拍摄“以案释法”系列法治宣传短视频，推广优化法治营商环境的成功案例。</w:t>
            </w:r>
          </w:p>
          <w:p>
            <w:pPr>
              <w:jc w:val="both"/>
              <w:rPr>
                <w:rFonts w:hint="eastAsia" w:ascii="宋体" w:hAnsi="宋体" w:eastAsia="宋体" w:cs="宋体"/>
                <w:sz w:val="18"/>
                <w:szCs w:val="18"/>
                <w:lang w:val="en-US" w:eastAsia="zh-CN"/>
              </w:rPr>
            </w:pPr>
          </w:p>
        </w:tc>
        <w:tc>
          <w:tcPr>
            <w:tcW w:w="918"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开展“法律进企业”活动，大力开展涉企政策宣传解读，为企业提供法治宣讲、法律咨询等服务，引导企业员工依法维权。</w:t>
            </w:r>
          </w:p>
        </w:tc>
        <w:tc>
          <w:tcPr>
            <w:tcW w:w="89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县司法局</w:t>
            </w:r>
          </w:p>
        </w:tc>
        <w:tc>
          <w:tcPr>
            <w:tcW w:w="89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张凤翯</w:t>
            </w:r>
          </w:p>
        </w:tc>
        <w:tc>
          <w:tcPr>
            <w:tcW w:w="96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王旭</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18643978066</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2224"/>
        <w:gridCol w:w="946"/>
        <w:gridCol w:w="1762"/>
        <w:gridCol w:w="1419"/>
        <w:gridCol w:w="1057"/>
        <w:gridCol w:w="900"/>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383"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22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94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1762"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4294"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383"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noWrap w:val="0"/>
            <w:vAlign w:val="center"/>
          </w:tcPr>
          <w:p>
            <w:pPr>
              <w:keepNext w:val="0"/>
              <w:keepLines w:val="0"/>
              <w:widowControl/>
              <w:suppressLineNumbers w:val="0"/>
              <w:jc w:val="both"/>
              <w:rPr>
                <w:rFonts w:hint="eastAsia" w:ascii="宋体" w:hAnsi="宋体" w:eastAsia="宋体" w:cs="宋体"/>
                <w:b w:val="0"/>
                <w:bCs w:val="0"/>
                <w:snapToGrid w:val="0"/>
                <w:color w:val="000000"/>
                <w:kern w:val="0"/>
                <w:sz w:val="16"/>
                <w:szCs w:val="16"/>
                <w:lang w:val="en-US" w:eastAsia="zh-CN" w:bidi="ar"/>
              </w:rPr>
            </w:pPr>
          </w:p>
        </w:tc>
        <w:tc>
          <w:tcPr>
            <w:tcW w:w="989"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224"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94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762"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419"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z w:val="16"/>
                <w:szCs w:val="16"/>
              </w:rPr>
            </w:pPr>
            <w:r>
              <w:rPr>
                <w:rFonts w:hint="eastAsia" w:ascii="宋体" w:hAnsi="宋体" w:eastAsia="宋体" w:cs="宋体"/>
                <w:b w:val="0"/>
                <w:bCs w:val="0"/>
                <w:sz w:val="16"/>
                <w:szCs w:val="16"/>
                <w:lang w:val="en-US" w:eastAsia="zh-CN"/>
              </w:rPr>
              <w:t>第一季度</w:t>
            </w:r>
          </w:p>
        </w:tc>
        <w:tc>
          <w:tcPr>
            <w:tcW w:w="1057"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7" w:hRule="atLeast"/>
          <w:jc w:val="center"/>
        </w:trPr>
        <w:tc>
          <w:tcPr>
            <w:tcW w:w="383" w:type="dxa"/>
            <w:vMerge w:val="restart"/>
            <w:noWrap w:val="0"/>
            <w:vAlign w:val="center"/>
          </w:tcPr>
          <w:p>
            <w:pPr>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w:t>
            </w:r>
          </w:p>
        </w:tc>
        <w:tc>
          <w:tcPr>
            <w:tcW w:w="2324" w:type="dxa"/>
            <w:vMerge w:val="restart"/>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拓展普惠式公共法律服务网络。依托全省公共法律服务实体、热线、网络三大平台，整合律师、公证、法律援助、司法鉴定、人民调解等行业资源，积极开发助企发展、法治惠民、纠纷调解、法律顾问、法律援助等公共法律服务产品，着力提升专业化、精细化、个性化水平，努力为各类市场主体提供便捷高效、均等普惠的公共法律服务。</w:t>
            </w:r>
          </w:p>
        </w:tc>
        <w:tc>
          <w:tcPr>
            <w:tcW w:w="989" w:type="dxa"/>
            <w:vMerge w:val="restart"/>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各级司法行政部门</w:t>
            </w:r>
          </w:p>
        </w:tc>
        <w:tc>
          <w:tcPr>
            <w:tcW w:w="2224"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统筹法律服务资源，建立法律服务人员数据库；实现乡村公共法律服务全覆盖，进一步推进矛盾纠纷化解、法治宣传、基层法律服务、公证、司法鉴定等法律服务进驻乡镇公共法律服务工作站，增强平台功能，助力基层社会治理和法治乡村建设；促进法律服务多元化专业化。进一步发挥村（居）法律顾问作用，组织律师、基层法律服务工作者等法律服务人员走进乡村，按需服务；加强公共法律服务评价工作。按照“随时评价、随手评价，服务一次、办事一次就接受服务对象评价一次”的原则，广泛开展公共法律服务满意度评价工作。</w:t>
            </w:r>
          </w:p>
        </w:tc>
        <w:tc>
          <w:tcPr>
            <w:tcW w:w="946" w:type="dxa"/>
            <w:tcBorders>
              <w:bottom w:val="single" w:color="auto" w:sz="4" w:space="0"/>
            </w:tcBorders>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市、县级司法行政部门负责</w:t>
            </w:r>
          </w:p>
        </w:tc>
        <w:tc>
          <w:tcPr>
            <w:tcW w:w="1762"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统筹法律服务资源，建立法律服务人员数据库；实现乡村公共法律服务全覆盖，进一步推进矛盾纠纷化解、法治宣传、基层法律服务、公证、司法鉴定等法律服务进驻乡镇公共法律服务工作站，增强平台功能，助力基层社会治理和法治乡村建设；促进法律服务多元化专业化。进一步发挥村（居）法律顾问作用，组织律师、基层法律服务工作者等法律服务人员走进乡村，按需服务；加强公共法律服务评价工作。按照“随时评价、随手评价，服务一次、办事一次就接受服务对象评价一次”的原则，广泛开展公共法律服务满意度评价工作。</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p>
        </w:tc>
        <w:tc>
          <w:tcPr>
            <w:tcW w:w="1419"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统筹法律服务资源，建立法律服务人员数据库。</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p>
        </w:tc>
        <w:tc>
          <w:tcPr>
            <w:tcW w:w="1057"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实现乡村公共法律服务全覆盖，进一步推进矛盾纠纷化解、法治宣传、基层法律服务、公证、司法鉴定 等法律服务进驻乡镇公共法律服务工作站，增强平台功能，助力基层社会 治理和法治乡村建设。</w:t>
            </w:r>
          </w:p>
        </w:tc>
        <w:tc>
          <w:tcPr>
            <w:tcW w:w="900"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促进法律服务多元化专业化。进一步发挥村（居）法律顾问作用，组织律师、基层法律服务工作者等法律服务人员走进乡村，按需服务。</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p>
        </w:tc>
        <w:tc>
          <w:tcPr>
            <w:tcW w:w="918"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加强公共法律服务评价工作。按照“随时评价、随手评价，服务一次、办事一次就接受服务对象评价一次 ”的原则，广泛开展公共法律服务满意度评价工作。</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p>
        </w:tc>
        <w:tc>
          <w:tcPr>
            <w:tcW w:w="896"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县司法局</w:t>
            </w:r>
          </w:p>
        </w:tc>
        <w:tc>
          <w:tcPr>
            <w:tcW w:w="896"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刘铁成</w:t>
            </w:r>
          </w:p>
        </w:tc>
        <w:tc>
          <w:tcPr>
            <w:tcW w:w="965"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翟振兴</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18604390536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8" w:hRule="atLeast"/>
          <w:jc w:val="center"/>
        </w:trPr>
        <w:tc>
          <w:tcPr>
            <w:tcW w:w="383" w:type="dxa"/>
            <w:vMerge w:val="continue"/>
            <w:noWrap w:val="0"/>
            <w:vAlign w:val="center"/>
          </w:tcPr>
          <w:p>
            <w:pPr>
              <w:jc w:val="center"/>
              <w:rPr>
                <w:rFonts w:hint="eastAsia" w:ascii="宋体" w:hAnsi="宋体" w:eastAsia="宋体" w:cs="宋体"/>
                <w:sz w:val="16"/>
                <w:szCs w:val="16"/>
                <w:lang w:val="en-US" w:eastAsia="zh-CN"/>
              </w:rPr>
            </w:pPr>
          </w:p>
        </w:tc>
        <w:tc>
          <w:tcPr>
            <w:tcW w:w="2324" w:type="dxa"/>
            <w:vMerge w:val="continue"/>
            <w:noWrap w:val="0"/>
            <w:vAlign w:val="center"/>
          </w:tcPr>
          <w:p>
            <w:pPr>
              <w:keepNext w:val="0"/>
              <w:keepLines w:val="0"/>
              <w:widowControl/>
              <w:suppressLineNumbers w:val="0"/>
              <w:jc w:val="both"/>
              <w:rPr>
                <w:rFonts w:hint="eastAsia" w:ascii="宋体" w:hAnsi="宋体" w:eastAsia="宋体" w:cs="宋体"/>
                <w:snapToGrid w:val="0"/>
                <w:color w:val="000000"/>
                <w:kern w:val="0"/>
                <w:sz w:val="16"/>
                <w:szCs w:val="16"/>
                <w:lang w:val="en-US" w:eastAsia="zh-CN" w:bidi="ar"/>
              </w:rPr>
            </w:pPr>
          </w:p>
        </w:tc>
        <w:tc>
          <w:tcPr>
            <w:tcW w:w="989" w:type="dxa"/>
            <w:vMerge w:val="continue"/>
            <w:noWrap w:val="0"/>
            <w:vAlign w:val="center"/>
          </w:tcPr>
          <w:p>
            <w:pPr>
              <w:jc w:val="center"/>
              <w:rPr>
                <w:rFonts w:hint="eastAsia" w:ascii="宋体" w:hAnsi="宋体" w:eastAsia="宋体" w:cs="宋体"/>
                <w:sz w:val="16"/>
                <w:szCs w:val="16"/>
                <w:lang w:val="en-US" w:eastAsia="zh-CN"/>
              </w:rPr>
            </w:pPr>
          </w:p>
        </w:tc>
        <w:tc>
          <w:tcPr>
            <w:tcW w:w="22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1.畅通法律援助绿色通道，加强基层法律援助工作站和联系点建设，进一步完善便民利民措施；2、持续做好“12348”公共法律咨询热线、“中国法网”和“吉林法网”线上咨询服务的推介与指引，进一步强化线上援助服务能力；3、提高信息化应用水平，通过信息共享查询、法律援助案件信息管理系统、司法协同平台逐步实现高效快捷的法律援助服务。 </w:t>
            </w:r>
          </w:p>
          <w:p>
            <w:pPr>
              <w:keepNext w:val="0"/>
              <w:keepLines w:val="0"/>
              <w:widowControl/>
              <w:numPr>
                <w:ilvl w:val="0"/>
                <w:numId w:val="0"/>
              </w:numPr>
              <w:suppressLineNumbers w:val="0"/>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zh-CN" w:bidi="ar"/>
              </w:rPr>
            </w:pPr>
          </w:p>
        </w:tc>
        <w:tc>
          <w:tcPr>
            <w:tcW w:w="946" w:type="dxa"/>
            <w:tcBorders>
              <w:top w:val="single" w:color="auto" w:sz="4" w:space="0"/>
            </w:tcBorders>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市、县级司法行政部门负责</w:t>
            </w:r>
          </w:p>
        </w:tc>
        <w:tc>
          <w:tcPr>
            <w:tcW w:w="1762"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畅通法律援助绿色通道，加强基层法律援助工作站和联系点建设，进一步完善便民利民措施；2.持续做好“12348”公共法律咨询热线、“中国法网”和“吉林法网”线上咨询服务的推介与指引，进一步强化线上援助服务能力；3.提高信息化应用水平，通过信息共享查询、法律援助案件信息管理系统、司法协同平台逐步实现高效快捷的法律援助服务。</w:t>
            </w:r>
          </w:p>
        </w:tc>
        <w:tc>
          <w:tcPr>
            <w:tcW w:w="1419"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畅通法律援助绿色通道。</w:t>
            </w:r>
          </w:p>
        </w:tc>
        <w:tc>
          <w:tcPr>
            <w:tcW w:w="1057"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加强基层法律援助工作站和联系点建设。</w:t>
            </w:r>
          </w:p>
        </w:tc>
        <w:tc>
          <w:tcPr>
            <w:tcW w:w="900"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推介和指引“12348”公共法律咨询热线、“中国法网”和“吉林法网”线上咨询服务，进一步强化线上援助服务能力。</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p>
        </w:tc>
        <w:tc>
          <w:tcPr>
            <w:tcW w:w="918"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提高信息化应用水平，通过信息共享 查询、法律援助案件信息管理系统、司法协同平台逐步实现高效快捷的法 律援助服务。 </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p>
        </w:tc>
        <w:tc>
          <w:tcPr>
            <w:tcW w:w="896"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县司法局</w:t>
            </w:r>
          </w:p>
        </w:tc>
        <w:tc>
          <w:tcPr>
            <w:tcW w:w="896"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张凤翯</w:t>
            </w:r>
          </w:p>
        </w:tc>
        <w:tc>
          <w:tcPr>
            <w:tcW w:w="965" w:type="dxa"/>
            <w:noWrap w:val="0"/>
            <w:vAlign w:val="center"/>
          </w:tcPr>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袁涛</w:t>
            </w:r>
          </w:p>
          <w:p>
            <w:pPr>
              <w:keepNext w:val="0"/>
              <w:keepLines w:val="0"/>
              <w:widowControl/>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18643985505</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2224"/>
        <w:gridCol w:w="946"/>
        <w:gridCol w:w="1762"/>
        <w:gridCol w:w="1223"/>
        <w:gridCol w:w="1253"/>
        <w:gridCol w:w="900"/>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9" w:hRule="atLeast"/>
          <w:jc w:val="center"/>
        </w:trPr>
        <w:tc>
          <w:tcPr>
            <w:tcW w:w="383"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22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94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1762"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4294"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383"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noWrap w:val="0"/>
            <w:vAlign w:val="center"/>
          </w:tcPr>
          <w:p>
            <w:pPr>
              <w:keepNext w:val="0"/>
              <w:keepLines w:val="0"/>
              <w:widowControl/>
              <w:suppressLineNumbers w:val="0"/>
              <w:jc w:val="both"/>
              <w:rPr>
                <w:rFonts w:hint="eastAsia" w:ascii="宋体" w:hAnsi="宋体" w:eastAsia="宋体" w:cs="宋体"/>
                <w:b w:val="0"/>
                <w:bCs w:val="0"/>
                <w:snapToGrid w:val="0"/>
                <w:color w:val="000000"/>
                <w:kern w:val="0"/>
                <w:sz w:val="16"/>
                <w:szCs w:val="16"/>
                <w:lang w:val="en-US" w:eastAsia="zh-CN" w:bidi="ar"/>
              </w:rPr>
            </w:pPr>
          </w:p>
        </w:tc>
        <w:tc>
          <w:tcPr>
            <w:tcW w:w="989"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224"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94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1762"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223"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第一季度</w:t>
            </w:r>
          </w:p>
        </w:tc>
        <w:tc>
          <w:tcPr>
            <w:tcW w:w="1253"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6" w:hRule="atLeast"/>
          <w:jc w:val="center"/>
        </w:trPr>
        <w:tc>
          <w:tcPr>
            <w:tcW w:w="383" w:type="dxa"/>
            <w:noWrap w:val="0"/>
            <w:vAlign w:val="center"/>
          </w:tcPr>
          <w:p>
            <w:pPr>
              <w:keepNext w:val="0"/>
              <w:keepLines w:val="0"/>
              <w:widowControl/>
              <w:numPr>
                <w:ilvl w:val="0"/>
                <w:numId w:val="0"/>
              </w:numPr>
              <w:suppressLineNumbers w:val="0"/>
              <w:jc w:val="center"/>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16</w:t>
            </w:r>
          </w:p>
        </w:tc>
        <w:tc>
          <w:tcPr>
            <w:tcW w:w="23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成立“法治体检中心”。发挥“吉林省民营企业体检中心”作用，组建法律服务志愿者团队，立足各类市场主体全生命周期，针对设立、孵化、发展、注销等不同阶段的实际需求，关口前移，帮助市场主体梳理、查找、防范生产经营中的法律风险，健全规章制度，维护合法权益，切实提升各类市场主体的法治获得感和满意度。</w:t>
            </w:r>
          </w:p>
        </w:tc>
        <w:tc>
          <w:tcPr>
            <w:tcW w:w="989"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省司法厅负责</w:t>
            </w:r>
          </w:p>
        </w:tc>
        <w:tc>
          <w:tcPr>
            <w:tcW w:w="22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1.组建专业法律服务团队，围绕企业设立、孵化、发展、注销等不同阶段的实际需求提供法律服务。2.组织法律服务团队对有需求的企业开展“法治体检”帮助企业梳理、查找、防范生产经营中的法律风险。</w:t>
            </w:r>
          </w:p>
        </w:tc>
        <w:tc>
          <w:tcPr>
            <w:tcW w:w="94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市司法局负责</w:t>
            </w:r>
          </w:p>
        </w:tc>
        <w:tc>
          <w:tcPr>
            <w:tcW w:w="1762"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1.组建专业法律服务团队，围绕企业设立、孵化、发展、注销等不同阶段的实际需求提供法律服务。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2.组织法律服务团队对有需求的企业开展“法治体检” 帮助企业梳理、查找、防范生产经营中的法律风险。</w:t>
            </w:r>
          </w:p>
        </w:tc>
        <w:tc>
          <w:tcPr>
            <w:tcW w:w="1223"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组建专业法律服务团队。</w:t>
            </w:r>
          </w:p>
        </w:tc>
        <w:tc>
          <w:tcPr>
            <w:tcW w:w="1253"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组织法律服务团队围绕企业不同阶段的实际需求提供法律服务。</w:t>
            </w:r>
          </w:p>
        </w:tc>
        <w:tc>
          <w:tcPr>
            <w:tcW w:w="900"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开展“法治体检”帮助企业梳理、查找防范生产经营中的法律风险。</w:t>
            </w:r>
          </w:p>
        </w:tc>
        <w:tc>
          <w:tcPr>
            <w:tcW w:w="918"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总结经验做法及不足，改进工作方式 方法，持续为 企业开展法律服务。</w:t>
            </w:r>
          </w:p>
        </w:tc>
        <w:tc>
          <w:tcPr>
            <w:tcW w:w="89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县司法局</w:t>
            </w:r>
          </w:p>
        </w:tc>
        <w:tc>
          <w:tcPr>
            <w:tcW w:w="89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刘铁成</w:t>
            </w:r>
          </w:p>
        </w:tc>
        <w:tc>
          <w:tcPr>
            <w:tcW w:w="965"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翟振兴</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18604390536</w:t>
            </w:r>
          </w:p>
        </w:tc>
      </w:tr>
    </w:tbl>
    <w:p>
      <w:pPr>
        <w:sectPr>
          <w:pgSz w:w="16838" w:h="11906" w:orient="landscape"/>
          <w:pgMar w:top="839" w:right="1304" w:bottom="1417" w:left="1287" w:header="851" w:footer="992" w:gutter="0"/>
          <w:pgNumType w:fmt="decimal"/>
          <w:cols w:space="720" w:num="1"/>
          <w:rtlGutter w:val="0"/>
          <w:docGrid w:type="lines" w:linePitch="312" w:charSpace="0"/>
        </w:sectPr>
      </w:pPr>
    </w:p>
    <w:p/>
    <w:tbl>
      <w:tblPr>
        <w:tblStyle w:val="6"/>
        <w:tblW w:w="156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2324"/>
        <w:gridCol w:w="989"/>
        <w:gridCol w:w="2224"/>
        <w:gridCol w:w="946"/>
        <w:gridCol w:w="2027"/>
        <w:gridCol w:w="1154"/>
        <w:gridCol w:w="1057"/>
        <w:gridCol w:w="900"/>
        <w:gridCol w:w="918"/>
        <w:gridCol w:w="896"/>
        <w:gridCol w:w="896"/>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9" w:hRule="atLeast"/>
          <w:jc w:val="center"/>
        </w:trPr>
        <w:tc>
          <w:tcPr>
            <w:tcW w:w="383"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序 号</w:t>
            </w:r>
          </w:p>
        </w:tc>
        <w:tc>
          <w:tcPr>
            <w:tcW w:w="23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省级任务</w:t>
            </w:r>
          </w:p>
        </w:tc>
        <w:tc>
          <w:tcPr>
            <w:tcW w:w="989"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省级负责部门</w:t>
            </w:r>
          </w:p>
        </w:tc>
        <w:tc>
          <w:tcPr>
            <w:tcW w:w="2224"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市级任务</w:t>
            </w:r>
          </w:p>
        </w:tc>
        <w:tc>
          <w:tcPr>
            <w:tcW w:w="946"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市级责任部门</w:t>
            </w:r>
          </w:p>
        </w:tc>
        <w:tc>
          <w:tcPr>
            <w:tcW w:w="2027"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县级任务</w:t>
            </w:r>
          </w:p>
        </w:tc>
        <w:tc>
          <w:tcPr>
            <w:tcW w:w="4029" w:type="dxa"/>
            <w:gridSpan w:val="4"/>
            <w:tcBorders>
              <w:bottom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进度安排</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县级</w:t>
            </w:r>
          </w:p>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rPr>
            </w:pPr>
            <w:r>
              <w:rPr>
                <w:rFonts w:hint="eastAsia" w:ascii="宋体" w:hAnsi="宋体" w:eastAsia="宋体" w:cs="宋体"/>
                <w:b w:val="0"/>
                <w:bCs w:val="0"/>
                <w:sz w:val="16"/>
                <w:szCs w:val="16"/>
                <w:lang w:val="en-US" w:eastAsia="zh-CN"/>
              </w:rPr>
              <w:t>责任部门</w:t>
            </w:r>
          </w:p>
        </w:tc>
        <w:tc>
          <w:tcPr>
            <w:tcW w:w="896" w:type="dxa"/>
            <w:vMerge w:val="restart"/>
            <w:noWrap w:val="0"/>
            <w:vAlign w:val="center"/>
          </w:tcPr>
          <w:p>
            <w:pPr>
              <w:spacing w:before="58" w:line="239" w:lineRule="auto"/>
              <w:ind w:right="2" w:rightChars="0"/>
              <w:jc w:val="center"/>
              <w:rPr>
                <w:rFonts w:hint="eastAsia" w:ascii="宋体" w:hAnsi="宋体" w:eastAsia="宋体" w:cs="宋体"/>
                <w:b w:val="0"/>
                <w:bCs w:val="0"/>
                <w:sz w:val="16"/>
                <w:szCs w:val="16"/>
                <w:lang w:val="en-US" w:eastAsia="zh-CN"/>
              </w:rPr>
            </w:pPr>
            <w:r>
              <w:rPr>
                <w:rFonts w:hint="eastAsia" w:ascii="宋体" w:hAnsi="宋体" w:eastAsia="宋体" w:cs="宋体"/>
                <w:b w:val="0"/>
                <w:bCs w:val="0"/>
                <w:sz w:val="16"/>
                <w:szCs w:val="16"/>
                <w:lang w:val="en-US" w:eastAsia="zh-CN"/>
              </w:rPr>
              <w:t>责任部门</w:t>
            </w:r>
          </w:p>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分管领导</w:t>
            </w:r>
          </w:p>
        </w:tc>
        <w:tc>
          <w:tcPr>
            <w:tcW w:w="965" w:type="dxa"/>
            <w:vMerge w:val="restart"/>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责任部门科室联系人及联系方式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383"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324" w:type="dxa"/>
            <w:vMerge w:val="continue"/>
            <w:noWrap w:val="0"/>
            <w:vAlign w:val="center"/>
          </w:tcPr>
          <w:p>
            <w:pPr>
              <w:keepNext w:val="0"/>
              <w:keepLines w:val="0"/>
              <w:widowControl/>
              <w:suppressLineNumbers w:val="0"/>
              <w:jc w:val="both"/>
              <w:rPr>
                <w:rFonts w:hint="eastAsia" w:ascii="宋体" w:hAnsi="宋体" w:eastAsia="宋体" w:cs="宋体"/>
                <w:b w:val="0"/>
                <w:bCs w:val="0"/>
                <w:snapToGrid w:val="0"/>
                <w:color w:val="000000"/>
                <w:kern w:val="0"/>
                <w:sz w:val="16"/>
                <w:szCs w:val="16"/>
                <w:lang w:val="en-US" w:eastAsia="zh-CN" w:bidi="ar"/>
              </w:rPr>
            </w:pPr>
          </w:p>
        </w:tc>
        <w:tc>
          <w:tcPr>
            <w:tcW w:w="989"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224"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94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2027" w:type="dxa"/>
            <w:vMerge w:val="continue"/>
            <w:noWrap w:val="0"/>
            <w:vAlign w:val="center"/>
          </w:tcPr>
          <w:p>
            <w:pPr>
              <w:keepNext w:val="0"/>
              <w:keepLines w:val="0"/>
              <w:widowControl/>
              <w:suppressLineNumbers w:val="0"/>
              <w:jc w:val="left"/>
              <w:rPr>
                <w:rFonts w:hint="eastAsia" w:ascii="宋体" w:hAnsi="宋体" w:eastAsia="宋体" w:cs="宋体"/>
                <w:b w:val="0"/>
                <w:bCs w:val="0"/>
                <w:snapToGrid w:val="0"/>
                <w:color w:val="000000"/>
                <w:kern w:val="0"/>
                <w:sz w:val="16"/>
                <w:szCs w:val="16"/>
                <w:lang w:val="en-US" w:eastAsia="zh-CN" w:bidi="ar"/>
              </w:rPr>
            </w:pPr>
          </w:p>
        </w:tc>
        <w:tc>
          <w:tcPr>
            <w:tcW w:w="1154"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rPr>
            </w:pPr>
            <w:r>
              <w:rPr>
                <w:rFonts w:hint="eastAsia" w:ascii="宋体" w:hAnsi="宋体" w:eastAsia="宋体" w:cs="宋体"/>
                <w:b w:val="0"/>
                <w:bCs w:val="0"/>
                <w:sz w:val="16"/>
                <w:szCs w:val="16"/>
                <w:lang w:val="en-US" w:eastAsia="zh-CN"/>
              </w:rPr>
              <w:t>第一季度</w:t>
            </w:r>
          </w:p>
        </w:tc>
        <w:tc>
          <w:tcPr>
            <w:tcW w:w="1057"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第二季度</w:t>
            </w:r>
          </w:p>
        </w:tc>
        <w:tc>
          <w:tcPr>
            <w:tcW w:w="900"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第三季度</w:t>
            </w:r>
          </w:p>
        </w:tc>
        <w:tc>
          <w:tcPr>
            <w:tcW w:w="918" w:type="dxa"/>
            <w:tcBorders>
              <w:top w:val="single" w:color="auto" w:sz="4" w:space="0"/>
            </w:tcBorders>
            <w:noWrap w:val="0"/>
            <w:vAlign w:val="center"/>
          </w:tcPr>
          <w:p>
            <w:pPr>
              <w:spacing w:before="58" w:line="239" w:lineRule="auto"/>
              <w:ind w:right="2" w:rightChars="0"/>
              <w:jc w:val="center"/>
              <w:rPr>
                <w:rFonts w:hint="eastAsia" w:ascii="宋体" w:hAnsi="宋体" w:eastAsia="宋体" w:cs="宋体"/>
                <w:b w:val="0"/>
                <w:bCs w:val="0"/>
                <w:snapToGrid w:val="0"/>
                <w:color w:val="000000"/>
                <w:kern w:val="0"/>
                <w:sz w:val="16"/>
                <w:szCs w:val="16"/>
                <w:lang w:val="en-US" w:eastAsia="zh-CN" w:bidi="ar"/>
              </w:rPr>
            </w:pPr>
            <w:r>
              <w:rPr>
                <w:rFonts w:hint="eastAsia" w:ascii="宋体" w:hAnsi="宋体" w:eastAsia="宋体" w:cs="宋体"/>
                <w:b w:val="0"/>
                <w:bCs w:val="0"/>
                <w:sz w:val="16"/>
                <w:szCs w:val="16"/>
                <w:lang w:val="en-US" w:eastAsia="zh-CN"/>
              </w:rPr>
              <w:t>第四季度</w:t>
            </w:r>
          </w:p>
        </w:tc>
        <w:tc>
          <w:tcPr>
            <w:tcW w:w="896" w:type="dxa"/>
            <w:vMerge w:val="continue"/>
            <w:noWrap w:val="0"/>
            <w:vAlign w:val="center"/>
          </w:tcPr>
          <w:p>
            <w:pPr>
              <w:jc w:val="center"/>
              <w:rPr>
                <w:rFonts w:hint="eastAsia" w:ascii="宋体" w:hAnsi="宋体" w:eastAsia="宋体" w:cs="宋体"/>
                <w:b w:val="0"/>
                <w:bCs w:val="0"/>
                <w:sz w:val="16"/>
                <w:szCs w:val="16"/>
                <w:lang w:val="en-US" w:eastAsia="zh-CN"/>
              </w:rPr>
            </w:pPr>
          </w:p>
        </w:tc>
        <w:tc>
          <w:tcPr>
            <w:tcW w:w="896" w:type="dxa"/>
            <w:vMerge w:val="continue"/>
            <w:noWrap w:val="0"/>
            <w:vAlign w:val="center"/>
          </w:tcPr>
          <w:p>
            <w:pPr>
              <w:jc w:val="center"/>
              <w:rPr>
                <w:rFonts w:hint="eastAsia" w:ascii="宋体" w:hAnsi="宋体" w:eastAsia="宋体" w:cs="宋体"/>
                <w:b w:val="0"/>
                <w:bCs w:val="0"/>
                <w:sz w:val="16"/>
                <w:szCs w:val="16"/>
              </w:rPr>
            </w:pPr>
          </w:p>
        </w:tc>
        <w:tc>
          <w:tcPr>
            <w:tcW w:w="965" w:type="dxa"/>
            <w:vMerge w:val="continue"/>
            <w:noWrap w:val="0"/>
            <w:vAlign w:val="center"/>
          </w:tcPr>
          <w:p>
            <w:pPr>
              <w:jc w:val="center"/>
              <w:rPr>
                <w:rFonts w:hint="eastAsia" w:ascii="宋体" w:hAnsi="宋体" w:eastAsia="宋体" w:cs="宋体"/>
                <w:b w:val="0"/>
                <w:bCs w:val="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jc w:val="center"/>
        </w:trPr>
        <w:tc>
          <w:tcPr>
            <w:tcW w:w="383" w:type="dxa"/>
            <w:noWrap w:val="0"/>
            <w:vAlign w:val="center"/>
          </w:tcPr>
          <w:p>
            <w:pPr>
              <w:keepNext w:val="0"/>
              <w:keepLines w:val="0"/>
              <w:widowControl/>
              <w:numPr>
                <w:ilvl w:val="0"/>
                <w:numId w:val="0"/>
              </w:numPr>
              <w:suppressLineNumbers w:val="0"/>
              <w:jc w:val="center"/>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17</w:t>
            </w:r>
          </w:p>
        </w:tc>
        <w:tc>
          <w:tcPr>
            <w:tcW w:w="23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开辟“维权平台＋法律服务”绿色通道。进一步发挥“民营企业法律维权服务中心”的职能作用，健全和完善“维权平台＋法律服务”的体制机制，畅通市场主体对行业壁垒的反馈渠道，实施营商环境考核评估工程，切实平等保护各类市场主体合法权益，维护公平竞争的市场秩序。</w:t>
            </w:r>
          </w:p>
        </w:tc>
        <w:tc>
          <w:tcPr>
            <w:tcW w:w="989"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省工商联牵头，省司法厅配合，中省直各相关部门及各市、县级政府按职责分工负责</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tc>
        <w:tc>
          <w:tcPr>
            <w:tcW w:w="22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1.建立民商事调解中心。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2.发挥第三方监督评估中心作用。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3.结合企业需求提供法律援助服务。</w:t>
            </w:r>
          </w:p>
        </w:tc>
        <w:tc>
          <w:tcPr>
            <w:tcW w:w="94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市工商联牵头，市司法局配合，市直、中省直各相关部门及各县级政府按职责分工负责</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tc>
        <w:tc>
          <w:tcPr>
            <w:tcW w:w="2027"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1.建立民商事调解中心。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2.发挥第三方监督评估中心作用。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3.结合企业需求提供法律援助服。</w:t>
            </w:r>
          </w:p>
        </w:tc>
        <w:tc>
          <w:tcPr>
            <w:tcW w:w="115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1.建立民商事调解中心。</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2.发挥第三方监督评估中心作用。</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3.结合企业需求提供法律援助服务。</w:t>
            </w:r>
          </w:p>
        </w:tc>
        <w:tc>
          <w:tcPr>
            <w:tcW w:w="1057"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持续推进</w:t>
            </w:r>
          </w:p>
        </w:tc>
        <w:tc>
          <w:tcPr>
            <w:tcW w:w="900"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持续推进</w:t>
            </w:r>
          </w:p>
        </w:tc>
        <w:tc>
          <w:tcPr>
            <w:tcW w:w="918"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持续推进</w:t>
            </w:r>
          </w:p>
        </w:tc>
        <w:tc>
          <w:tcPr>
            <w:tcW w:w="89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县工商联牵头，县司法局配合，县直、中省直各相关部门及乡镇政府按职责分工负责。</w:t>
            </w:r>
          </w:p>
        </w:tc>
        <w:tc>
          <w:tcPr>
            <w:tcW w:w="89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王德才</w:t>
            </w:r>
          </w:p>
        </w:tc>
        <w:tc>
          <w:tcPr>
            <w:tcW w:w="965"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张守慧</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13843975933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3" w:hRule="atLeast"/>
          <w:jc w:val="center"/>
        </w:trPr>
        <w:tc>
          <w:tcPr>
            <w:tcW w:w="383" w:type="dxa"/>
            <w:noWrap w:val="0"/>
            <w:vAlign w:val="center"/>
          </w:tcPr>
          <w:p>
            <w:pPr>
              <w:keepNext w:val="0"/>
              <w:keepLines w:val="0"/>
              <w:widowControl/>
              <w:numPr>
                <w:ilvl w:val="0"/>
                <w:numId w:val="0"/>
              </w:numPr>
              <w:suppressLineNumbers w:val="0"/>
              <w:jc w:val="center"/>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18</w:t>
            </w:r>
          </w:p>
        </w:tc>
        <w:tc>
          <w:tcPr>
            <w:tcW w:w="23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完善民商事纠纷调解机制。坚持和发展新时代“枫桥经验” ，加强溯源治理，健全和完善调解、仲裁、行政裁决、行政复议、诉讼有机衔接、相互协调的多元化纠纷解决机制。强化制度供给，积极探索第三方法律评估、联合调解、“调解＋保险”等方式，大力建设一批专业化、集约化、市场化的矛盾纠纷调解机构，推动形成优势互补、有机聚合、协调联动的工作新格局。</w:t>
            </w:r>
          </w:p>
        </w:tc>
        <w:tc>
          <w:tcPr>
            <w:tcW w:w="989"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省司法厅牵头，中省直各相关部门及各市、县级政府按职责分工负责</w:t>
            </w:r>
          </w:p>
        </w:tc>
        <w:tc>
          <w:tcPr>
            <w:tcW w:w="222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1.加强行业性专业性人民调解组织力量，积极发挥行业性专业性调解优势。2.加强涉企矛盾纠纷排查化解工作。进一步强化我市企事业单位人民调解组织建设，推动企事业单位人民调解工作的发展。 3.切实加强人民调解与行政调解、司法调解的衔接配合，着力加强与法院、检察院及政府各职能部门的沟通联络，实现调节机制的功能优势互补，形成预防化解矛盾纠纷的合力。 4.推进矛盾纠纷“一站式” 调处化解平台建设。</w:t>
            </w:r>
          </w:p>
        </w:tc>
        <w:tc>
          <w:tcPr>
            <w:tcW w:w="94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市司法局牵头，市直、中省直各相关部门及各县级政府按职责分工负责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tc>
        <w:tc>
          <w:tcPr>
            <w:tcW w:w="2027"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6"/>
                <w:szCs w:val="16"/>
                <w:lang w:val="en-US" w:eastAsia="zh-CN" w:bidi="ar"/>
              </w:rPr>
              <w:t>1.加强行业性专业性人民调解组织力量，积极发挥行业性专业性调解优势。2.加强涉企矛盾纠纷排查化解工作。进一步强化我县企事业单位人民调解组织建设，推动企事业单人民调解工作的发展。3.切实加强人民调解与行政调解、司法调解的衔接配合，着力加强与法院、检察院及政府各职能部门的沟通联络，实现调节机制的功能优势互补，形成预防化解矛盾纠纷的合力。4.推进矛盾纠纷“一站式”调处化解平台建设。</w:t>
            </w:r>
          </w:p>
        </w:tc>
        <w:tc>
          <w:tcPr>
            <w:tcW w:w="1154"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加强行业性专业性人民调解组织力量，积极发挥行业性专业性调解优势。 </w:t>
            </w:r>
          </w:p>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p>
        </w:tc>
        <w:tc>
          <w:tcPr>
            <w:tcW w:w="1057"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 xml:space="preserve">加强涉企矛盾纠纷排查化解工作。进一步强化我县企事业单位人民调解组织建设，推动企事业单位人民调解工作的发展。 </w:t>
            </w:r>
          </w:p>
        </w:tc>
        <w:tc>
          <w:tcPr>
            <w:tcW w:w="900"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6"/>
                <w:szCs w:val="16"/>
                <w:lang w:val="en-US" w:eastAsia="zh-CN" w:bidi="ar"/>
              </w:rPr>
              <w:t>切实加强人民调解、司法调解的衔接配合，着力加强与法院、检察院及政府各职能部门的沟通联络，实现调节机制的功能优势互补，形成预防化解矛盾纠纷的合力。</w:t>
            </w:r>
          </w:p>
        </w:tc>
        <w:tc>
          <w:tcPr>
            <w:tcW w:w="918"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进一步推进矛盾纠纷“一站式”调处化解平台建设。</w:t>
            </w:r>
          </w:p>
        </w:tc>
        <w:tc>
          <w:tcPr>
            <w:tcW w:w="89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县司法局牵头，县直、中省直各相关部门及各乡镇政府按职责分工负责</w:t>
            </w:r>
          </w:p>
        </w:tc>
        <w:tc>
          <w:tcPr>
            <w:tcW w:w="896" w:type="dxa"/>
            <w:noWrap w:val="0"/>
            <w:vAlign w:val="center"/>
          </w:tcPr>
          <w:p>
            <w:pPr>
              <w:keepNext w:val="0"/>
              <w:keepLines w:val="0"/>
              <w:widowControl/>
              <w:numPr>
                <w:ilvl w:val="0"/>
                <w:numId w:val="0"/>
              </w:numPr>
              <w:suppressLineNumbers w:val="0"/>
              <w:jc w:val="both"/>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刘铁成</w:t>
            </w:r>
          </w:p>
        </w:tc>
        <w:tc>
          <w:tcPr>
            <w:tcW w:w="965" w:type="dxa"/>
            <w:noWrap w:val="0"/>
            <w:vAlign w:val="center"/>
          </w:tcPr>
          <w:p>
            <w:pPr>
              <w:keepNext w:val="0"/>
              <w:keepLines w:val="0"/>
              <w:widowControl/>
              <w:numPr>
                <w:ilvl w:val="0"/>
                <w:numId w:val="0"/>
              </w:numPr>
              <w:suppressLineNumbers w:val="0"/>
              <w:jc w:val="both"/>
              <w:rPr>
                <w:rFonts w:hint="default"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孙晓辉15500476211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BDE2B"/>
    <w:multiLevelType w:val="singleLevel"/>
    <w:tmpl w:val="A0FBDE2B"/>
    <w:lvl w:ilvl="0" w:tentative="0">
      <w:start w:val="1"/>
      <w:numFmt w:val="decimal"/>
      <w:lvlText w:val="%1."/>
      <w:lvlJc w:val="left"/>
      <w:pPr>
        <w:tabs>
          <w:tab w:val="left" w:pos="312"/>
        </w:tabs>
      </w:pPr>
    </w:lvl>
  </w:abstractNum>
  <w:abstractNum w:abstractNumId="1">
    <w:nsid w:val="55294BAA"/>
    <w:multiLevelType w:val="singleLevel"/>
    <w:tmpl w:val="55294BA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iMmU5MjE3MTIzOTQxNmI4ZGFkODVlNWRmN2YifQ=="/>
  </w:docVars>
  <w:rsids>
    <w:rsidRoot w:val="1B6A6CB4"/>
    <w:rsid w:val="1B6A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2023-06-26T08:00:00Z</dcterms:created>
  <dc:creator>TY</dc:creator>
  <cp:lastModifiedBy>TY</cp:lastModifiedBy>
  <dcterms:modified xsi:type="dcterms:W3CDTF">2023-06-26T08:01:54Z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2BEFAF39C24040F8AB9F3697B14A50C8_11</vt:lpwstr>
  </property>
</Properties>
</file>