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靖宇县</w:t>
      </w:r>
      <w:r>
        <w:rPr>
          <w:rFonts w:hint="eastAsia" w:ascii="方正小标宋简体" w:hAnsi="方正小标宋简体" w:eastAsia="方正小标宋简体" w:cs="方正小标宋简体"/>
          <w:sz w:val="44"/>
          <w:szCs w:val="44"/>
        </w:rPr>
        <w:t>保障有力要素环境建设工程工作专班及任务清单(2023年)</w:t>
      </w:r>
    </w:p>
    <w:p>
      <w:pPr>
        <w:keepNext w:val="0"/>
        <w:keepLines w:val="0"/>
        <w:pageBreakBefore w:val="0"/>
        <w:wordWrap/>
        <w:overflowPunct/>
        <w:topLinePunct w:val="0"/>
        <w:bidi w:val="0"/>
        <w:spacing w:line="576" w:lineRule="exact"/>
        <w:rPr>
          <w:rFonts w:hint="eastAsia" w:ascii="仿宋_GB2312" w:hAnsi="仿宋_GB2312" w:eastAsia="仿宋_GB2312" w:cs="仿宋_GB231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为持续优化营商环境，进一步激发市场主体创造力和活力，建设保障有力的要素环境，</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《吉林省保障有力要素环境建设工程实施方案》</w:t>
      </w:r>
      <w:r>
        <w:rPr>
          <w:rFonts w:hint="eastAsia" w:ascii="仿宋_GB2312" w:hAnsi="仿宋_GB2312" w:eastAsia="仿宋_GB2312" w:cs="仿宋_GB2312"/>
          <w:sz w:val="32"/>
          <w:szCs w:val="32"/>
          <w:lang w:val="en-US" w:eastAsia="zh-CN"/>
        </w:rPr>
        <w:t>及白山市《</w:t>
      </w:r>
      <w:r>
        <w:rPr>
          <w:rFonts w:hint="eastAsia" w:ascii="仿宋_GB2312" w:hAnsi="仿宋_GB2312" w:eastAsia="仿宋_GB2312" w:cs="仿宋_GB2312"/>
          <w:sz w:val="32"/>
          <w:szCs w:val="32"/>
        </w:rPr>
        <w:t>白山市人民政府办公室关于成立白山市营商环境4个建设工程办公室和工作专班的通知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，按照相关要求并结合我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政府成立</w:t>
      </w:r>
      <w:r>
        <w:rPr>
          <w:rFonts w:hint="eastAsia" w:ascii="仿宋_GB2312" w:hAnsi="仿宋_GB2312" w:eastAsia="仿宋_GB2312" w:cs="仿宋_GB2312"/>
          <w:sz w:val="32"/>
          <w:szCs w:val="32"/>
          <w:lang w:val="en-US" w:eastAsia="zh-CN"/>
        </w:rPr>
        <w:t>靖宇县</w:t>
      </w:r>
      <w:r>
        <w:rPr>
          <w:rFonts w:hint="eastAsia" w:ascii="仿宋_GB2312" w:hAnsi="仿宋_GB2312" w:eastAsia="仿宋_GB2312" w:cs="仿宋_GB2312"/>
          <w:sz w:val="32"/>
          <w:szCs w:val="32"/>
        </w:rPr>
        <w:t>保障有力要素环境建设工程工作专班。</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专班职责：由</w:t>
      </w:r>
      <w:r>
        <w:rPr>
          <w:rFonts w:hint="eastAsia" w:ascii="仿宋_GB2312" w:hAnsi="仿宋_GB2312" w:eastAsia="仿宋_GB2312" w:cs="仿宋_GB2312"/>
          <w:sz w:val="32"/>
          <w:szCs w:val="32"/>
          <w:lang w:val="en-US" w:eastAsia="zh-CN"/>
        </w:rPr>
        <w:t>县发改局</w:t>
      </w:r>
      <w:r>
        <w:rPr>
          <w:rFonts w:hint="eastAsia" w:ascii="仿宋_GB2312" w:hAnsi="仿宋_GB2312" w:eastAsia="仿宋_GB2312" w:cs="仿宋_GB2312"/>
          <w:sz w:val="32"/>
          <w:szCs w:val="32"/>
        </w:rPr>
        <w:t>负</w:t>
      </w:r>
      <w:r>
        <w:rPr>
          <w:rFonts w:hint="eastAsia" w:ascii="仿宋_GB2312" w:hAnsi="仿宋_GB2312" w:eastAsia="仿宋_GB2312" w:cs="仿宋_GB2312"/>
          <w:sz w:val="32"/>
          <w:szCs w:val="32"/>
          <w:lang w:val="en-US" w:eastAsia="zh-CN"/>
        </w:rPr>
        <w:t>牵头负</w:t>
      </w:r>
      <w:r>
        <w:rPr>
          <w:rFonts w:hint="eastAsia" w:ascii="仿宋_GB2312" w:hAnsi="仿宋_GB2312" w:eastAsia="仿宋_GB2312" w:cs="仿宋_GB2312"/>
          <w:sz w:val="32"/>
          <w:szCs w:val="32"/>
        </w:rPr>
        <w:t>责，建立与各配合部门共同推进的保障有力要素环境建设工程工作协调机制。对相关工作任务进行科学谋划、综合协调，牵头汇总、分解相关工作任务，指导相关配合部门持续推进分工任务落实。制定《</w:t>
      </w:r>
      <w:r>
        <w:rPr>
          <w:rFonts w:hint="eastAsia" w:ascii="仿宋_GB2312" w:hAnsi="仿宋_GB2312" w:eastAsia="仿宋_GB2312" w:cs="仿宋_GB2312"/>
          <w:sz w:val="32"/>
          <w:szCs w:val="32"/>
          <w:lang w:val="en-US" w:eastAsia="zh-CN"/>
        </w:rPr>
        <w:t>靖宇县</w:t>
      </w:r>
      <w:r>
        <w:rPr>
          <w:rFonts w:hint="eastAsia" w:ascii="仿宋_GB2312" w:hAnsi="仿宋_GB2312" w:eastAsia="仿宋_GB2312" w:cs="仿宋_GB2312"/>
          <w:sz w:val="32"/>
          <w:szCs w:val="32"/>
        </w:rPr>
        <w:t>保障有力要素环境建设工程工作专班任务清</w:t>
      </w:r>
      <w:r>
        <w:rPr>
          <w:rFonts w:hint="eastAsia" w:ascii="仿宋_GB2312" w:hAnsi="仿宋_GB2312" w:eastAsia="仿宋_GB2312" w:cs="仿宋_GB2312"/>
          <w:sz w:val="32"/>
          <w:szCs w:val="32"/>
          <w:lang w:val="en-US" w:eastAsia="zh-CN"/>
        </w:rPr>
        <w:t>单</w:t>
      </w:r>
      <w:r>
        <w:rPr>
          <w:rFonts w:hint="eastAsia" w:ascii="仿宋_GB2312" w:hAnsi="仿宋_GB2312" w:eastAsia="仿宋_GB2312" w:cs="仿宋_GB2312"/>
          <w:sz w:val="32"/>
          <w:szCs w:val="32"/>
        </w:rPr>
        <w:t>(2023年)》，明确重点任务时间表、路线图，确保要素保障政策落到实处。</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专班人员：组  长： 宫  晖  县发展和改革局局长</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副组长： 石  磊  县发展和改革局副局长</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320" w:firstLineChars="1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成  员:  于书祥  县发展和改革局综合科科长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陈炳利  县发展和改革局公交科科长</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陈玉清  县发展和改革局资科科长</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丁交禹  县发展和改革局科科长</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李金环  县发展和改革局服务业科科长</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left"/>
        <w:textAlignment w:val="baseline"/>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配合单位：县自然资源局、县工业和信息化局、县人力资源和社会保障局、县财政局、县政务服务和数字化管理局、县市场监督管理局、县社保局、县总工会、县农业农村局、县教育局、县重点项目服务中心、县税务局、靖宇县地方电力公司、人民银行靖宇支行</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2"/>
          <w:szCs w:val="32"/>
          <w:lang w:val="en-US" w:eastAsia="zh-CN"/>
        </w:rPr>
        <w:t>县银保监组、县工商联、白山市生态环境局靖宇县分局、县畜牧兽医管理总站。</w:t>
      </w:r>
    </w:p>
    <w:p/>
    <w:p/>
    <w:p/>
    <w:p/>
    <w:p/>
    <w:p/>
    <w:p/>
    <w:p/>
    <w:p/>
    <w:p/>
    <w:p/>
    <w:p/>
    <w:p/>
    <w:p/>
    <w:p/>
    <w:p/>
    <w:p/>
    <w:p/>
    <w:p/>
    <w:p/>
    <w:p/>
    <w:p/>
    <w:p/>
    <w:p/>
    <w:p/>
    <w:p/>
    <w:p/>
    <w:p/>
    <w:p/>
    <w:p/>
    <w:p/>
    <w:p/>
    <w:p/>
    <w:p>
      <w:pPr>
        <w:sectPr>
          <w:pgSz w:w="11906" w:h="16838"/>
          <w:pgMar w:top="1417" w:right="1417" w:bottom="1417" w:left="1417" w:header="851" w:footer="992" w:gutter="0"/>
          <w:pgNumType w:fmt="decimal"/>
          <w:cols w:space="720" w:num="1"/>
          <w:docGrid w:type="lines" w:linePitch="312" w:charSpace="0"/>
        </w:sectPr>
      </w:pPr>
    </w:p>
    <w:p>
      <w:pPr>
        <w:spacing w:before="143" w:line="221" w:lineRule="auto"/>
        <w:jc w:val="center"/>
        <w:rPr>
          <w:rFonts w:ascii="宋体" w:hAnsi="宋体" w:eastAsia="宋体" w:cs="宋体"/>
          <w:sz w:val="44"/>
          <w:szCs w:val="44"/>
        </w:rPr>
      </w:pPr>
      <w:r>
        <w:rPr>
          <w:rFonts w:hint="eastAsia" w:ascii="宋体" w:hAnsi="宋体" w:eastAsia="宋体" w:cs="宋体"/>
          <w:spacing w:val="-3"/>
          <w:sz w:val="44"/>
          <w:szCs w:val="44"/>
          <w:lang w:val="en-US" w:eastAsia="zh-CN"/>
        </w:rPr>
        <w:t>靖宇县保障有力要素环境建设工程工作专班任务清单</w:t>
      </w:r>
      <w:r>
        <w:rPr>
          <w:rFonts w:ascii="宋体" w:hAnsi="宋体" w:eastAsia="宋体" w:cs="宋体"/>
          <w:spacing w:val="-3"/>
          <w:sz w:val="44"/>
          <w:szCs w:val="44"/>
        </w:rPr>
        <w:t>(</w:t>
      </w:r>
      <w:r>
        <w:rPr>
          <w:rFonts w:ascii="Times New Roman" w:hAnsi="Times New Roman" w:eastAsia="Times New Roman" w:cs="Times New Roman"/>
          <w:spacing w:val="-3"/>
          <w:sz w:val="44"/>
          <w:szCs w:val="44"/>
        </w:rPr>
        <w:t>2023</w:t>
      </w:r>
      <w:r>
        <w:rPr>
          <w:rFonts w:ascii="宋体" w:hAnsi="宋体" w:eastAsia="宋体" w:cs="宋体"/>
          <w:sz w:val="44"/>
          <w:szCs w:val="44"/>
        </w:rPr>
        <w:t>年)</w:t>
      </w:r>
    </w:p>
    <w:tbl>
      <w:tblPr>
        <w:tblStyle w:val="5"/>
        <w:tblW w:w="14850"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13"/>
        <w:gridCol w:w="737"/>
        <w:gridCol w:w="1695"/>
        <w:gridCol w:w="1163"/>
        <w:gridCol w:w="1236"/>
        <w:gridCol w:w="1293"/>
        <w:gridCol w:w="1108"/>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20"/>
                <w:szCs w:val="20"/>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ascii="Arial"/>
                <w:sz w:val="20"/>
                <w:szCs w:val="20"/>
              </w:rPr>
            </w:pPr>
          </w:p>
        </w:tc>
        <w:tc>
          <w:tcPr>
            <w:tcW w:w="2013" w:type="dxa"/>
            <w:vMerge w:val="continue"/>
            <w:tcBorders>
              <w:top w:val="nil"/>
            </w:tcBorders>
            <w:noWrap w:val="0"/>
            <w:vAlign w:val="top"/>
          </w:tcPr>
          <w:p>
            <w:pPr>
              <w:jc w:val="center"/>
              <w:rPr>
                <w:rFonts w:ascii="Arial"/>
                <w:sz w:val="20"/>
                <w:szCs w:val="20"/>
              </w:rPr>
            </w:pPr>
          </w:p>
        </w:tc>
        <w:tc>
          <w:tcPr>
            <w:tcW w:w="737" w:type="dxa"/>
            <w:vMerge w:val="continue"/>
            <w:noWrap w:val="0"/>
            <w:vAlign w:val="top"/>
          </w:tcPr>
          <w:p>
            <w:pPr>
              <w:jc w:val="center"/>
              <w:rPr>
                <w:rFonts w:ascii="Arial" w:hAnsi="Arial" w:eastAsia="Arial" w:cs="Arial"/>
                <w:snapToGrid w:val="0"/>
                <w:color w:val="000000"/>
                <w:kern w:val="0"/>
                <w:sz w:val="20"/>
                <w:szCs w:val="20"/>
              </w:rPr>
            </w:pPr>
          </w:p>
        </w:tc>
        <w:tc>
          <w:tcPr>
            <w:tcW w:w="1695" w:type="dxa"/>
            <w:vMerge w:val="continue"/>
            <w:noWrap w:val="0"/>
            <w:vAlign w:val="top"/>
          </w:tcPr>
          <w:p>
            <w:pPr>
              <w:spacing w:before="58" w:line="239" w:lineRule="auto"/>
              <w:ind w:right="2"/>
              <w:jc w:val="center"/>
              <w:rPr>
                <w:rFonts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36"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293"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108"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ascii="Arial"/>
                <w:sz w:val="20"/>
                <w:szCs w:val="20"/>
              </w:rPr>
            </w:pPr>
          </w:p>
        </w:tc>
        <w:tc>
          <w:tcPr>
            <w:tcW w:w="971" w:type="dxa"/>
            <w:vMerge w:val="continue"/>
            <w:noWrap w:val="0"/>
            <w:vAlign w:val="top"/>
          </w:tcPr>
          <w:p>
            <w:pPr>
              <w:jc w:val="center"/>
              <w:rPr>
                <w:rFonts w:ascii="Arial"/>
                <w:sz w:val="20"/>
                <w:szCs w:val="20"/>
              </w:rPr>
            </w:pPr>
          </w:p>
        </w:tc>
        <w:tc>
          <w:tcPr>
            <w:tcW w:w="1166" w:type="dxa"/>
            <w:vMerge w:val="continue"/>
            <w:noWrap w:val="0"/>
            <w:vAlign w:val="top"/>
          </w:tcPr>
          <w:p>
            <w:pPr>
              <w:spacing w:line="267" w:lineRule="auto"/>
              <w:jc w:val="center"/>
              <w:rPr>
                <w:rFonts w:ascii="Arial"/>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0" w:hRule="atLeast"/>
        </w:trPr>
        <w:tc>
          <w:tcPr>
            <w:tcW w:w="462" w:type="dxa"/>
            <w:noWrap w:val="0"/>
            <w:vAlign w:val="top"/>
          </w:tcPr>
          <w:p>
            <w:pPr>
              <w:spacing w:before="59" w:line="239" w:lineRule="auto"/>
              <w:ind w:right="3"/>
              <w:jc w:val="center"/>
              <w:rPr>
                <w:rFonts w:hint="eastAsia" w:ascii="宋体" w:hAnsi="宋体" w:eastAsia="宋体" w:cs="宋体"/>
                <w:sz w:val="21"/>
                <w:szCs w:val="21"/>
                <w:lang w:eastAsia="zh-CN"/>
              </w:rPr>
            </w:pPr>
          </w:p>
          <w:p>
            <w:pPr>
              <w:spacing w:before="59" w:line="239" w:lineRule="auto"/>
              <w:ind w:right="3"/>
              <w:jc w:val="center"/>
              <w:rPr>
                <w:rFonts w:hint="eastAsia" w:ascii="宋体" w:hAnsi="宋体" w:eastAsia="宋体" w:cs="宋体"/>
                <w:sz w:val="21"/>
                <w:szCs w:val="21"/>
                <w:lang w:eastAsia="zh-CN"/>
              </w:rPr>
            </w:pPr>
          </w:p>
          <w:p>
            <w:pPr>
              <w:spacing w:before="59" w:line="239" w:lineRule="auto"/>
              <w:ind w:right="3"/>
              <w:jc w:val="center"/>
              <w:rPr>
                <w:rFonts w:hint="eastAsia" w:ascii="宋体" w:hAnsi="宋体" w:eastAsia="宋体" w:cs="宋体"/>
                <w:sz w:val="21"/>
                <w:szCs w:val="21"/>
                <w:lang w:eastAsia="zh-CN"/>
              </w:rPr>
            </w:pPr>
          </w:p>
          <w:p>
            <w:pPr>
              <w:spacing w:before="59" w:line="239" w:lineRule="auto"/>
              <w:ind w:right="3"/>
              <w:jc w:val="center"/>
              <w:rPr>
                <w:rFonts w:hint="eastAsia" w:ascii="宋体" w:hAnsi="宋体" w:eastAsia="宋体" w:cs="宋体"/>
                <w:sz w:val="21"/>
                <w:szCs w:val="21"/>
                <w:lang w:eastAsia="zh-CN"/>
              </w:rPr>
            </w:pPr>
          </w:p>
          <w:p>
            <w:pPr>
              <w:spacing w:before="59" w:line="239" w:lineRule="auto"/>
              <w:ind w:right="3"/>
              <w:jc w:val="center"/>
              <w:rPr>
                <w:rFonts w:hint="eastAsia" w:ascii="宋体" w:hAnsi="宋体" w:eastAsia="宋体" w:cs="宋体"/>
                <w:sz w:val="21"/>
                <w:szCs w:val="21"/>
                <w:lang w:eastAsia="zh-CN"/>
              </w:rPr>
            </w:pPr>
          </w:p>
          <w:p>
            <w:pPr>
              <w:spacing w:before="59" w:line="239" w:lineRule="auto"/>
              <w:ind w:right="3"/>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1580" w:type="dxa"/>
            <w:noWrap w:val="0"/>
            <w:vAlign w:val="center"/>
          </w:tcPr>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eastAsia="宋体" w:cs="宋体"/>
                <w:i w:val="0"/>
                <w:iCs w:val="0"/>
                <w:snapToGrid w:val="0"/>
                <w:color w:val="000000"/>
                <w:kern w:val="0"/>
                <w:sz w:val="18"/>
                <w:szCs w:val="18"/>
                <w:u w:val="none"/>
                <w:lang w:val="en-US" w:eastAsia="zh-CN" w:bidi="ar"/>
              </w:rPr>
              <w:t>项目拟用地范围位于城镇开发边界内的，在衔接“三区三线”等国土空间规划管控要求的基础上，采取预支规划新增建设用地规模的方式予以保障，由项目所在地市县政府承诺将项目用地布局及规模，纳入在编的国土空间规划及“一张图”，作为建设项目用地组卷报批的规划依据。</w:t>
            </w:r>
          </w:p>
        </w:tc>
        <w:tc>
          <w:tcPr>
            <w:tcW w:w="642"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18"/>
                <w:szCs w:val="18"/>
                <w:u w:val="none"/>
                <w:lang w:val="en-US" w:eastAsia="zh-CN" w:bidi="ar"/>
              </w:rPr>
              <w:t>省自然资源厅</w:t>
            </w:r>
          </w:p>
        </w:tc>
        <w:tc>
          <w:tcPr>
            <w:tcW w:w="2013"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18"/>
                <w:szCs w:val="18"/>
                <w:u w:val="none"/>
                <w:lang w:val="en-US" w:eastAsia="zh-CN" w:bidi="ar"/>
              </w:rPr>
              <w:t>我市 (含县〔市、区〕) 在“三区三线”划定工作时，已将近期项目用地指标纳入国土空间用地布局和“一张图”中，可根据项目缓急调控用地指标，支撑项目建设用地需求。</w:t>
            </w:r>
          </w:p>
        </w:tc>
        <w:tc>
          <w:tcPr>
            <w:tcW w:w="737" w:type="dxa"/>
            <w:noWrap w:val="0"/>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1"/>
                <w:szCs w:val="21"/>
              </w:rPr>
            </w:pPr>
            <w:r>
              <w:rPr>
                <w:rFonts w:hint="eastAsia" w:ascii="宋体" w:hAnsi="宋体" w:eastAsia="宋体" w:cs="宋体"/>
                <w:i w:val="0"/>
                <w:iCs w:val="0"/>
                <w:snapToGrid w:val="0"/>
                <w:color w:val="000000"/>
                <w:kern w:val="0"/>
                <w:sz w:val="18"/>
                <w:szCs w:val="18"/>
                <w:u w:val="none"/>
                <w:lang w:val="en-US" w:eastAsia="zh-CN" w:bidi="ar"/>
              </w:rPr>
              <w:t>市自然资源局</w:t>
            </w:r>
          </w:p>
        </w:tc>
        <w:tc>
          <w:tcPr>
            <w:tcW w:w="1695" w:type="dxa"/>
            <w:noWrap w:val="0"/>
            <w:vAlign w:val="center"/>
          </w:tcPr>
          <w:p>
            <w:pPr>
              <w:keepNext w:val="0"/>
              <w:keepLines w:val="0"/>
              <w:widowControl/>
              <w:suppressLineNumbers w:val="0"/>
              <w:jc w:val="both"/>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18"/>
                <w:szCs w:val="18"/>
                <w:u w:val="none"/>
                <w:lang w:val="en-US" w:eastAsia="zh-CN" w:bidi="ar"/>
              </w:rPr>
              <w:t>根据我县项目用地情况，对符合三区三线的用地，优先安排指标及规划。</w:t>
            </w:r>
          </w:p>
        </w:tc>
        <w:tc>
          <w:tcPr>
            <w:tcW w:w="1163" w:type="dxa"/>
            <w:noWrap w:val="0"/>
            <w:vAlign w:val="center"/>
          </w:tcPr>
          <w:p>
            <w:pPr>
              <w:keepNext w:val="0"/>
              <w:keepLines w:val="0"/>
              <w:widowControl/>
              <w:suppressLineNumbers w:val="0"/>
              <w:jc w:val="both"/>
              <w:textAlignment w:val="center"/>
              <w:rPr>
                <w:rFonts w:hint="eastAsia" w:ascii="宋体" w:hAnsi="宋体" w:eastAsia="宋体" w:cs="宋体"/>
                <w:sz w:val="16"/>
                <w:szCs w:val="16"/>
              </w:rPr>
            </w:pPr>
            <w:r>
              <w:rPr>
                <w:rFonts w:hint="eastAsia" w:ascii="宋体" w:hAnsi="宋体" w:eastAsia="宋体" w:cs="宋体"/>
                <w:i w:val="0"/>
                <w:iCs w:val="0"/>
                <w:snapToGrid w:val="0"/>
                <w:color w:val="000000"/>
                <w:kern w:val="0"/>
                <w:sz w:val="18"/>
                <w:szCs w:val="18"/>
                <w:u w:val="none"/>
                <w:lang w:val="en-US" w:eastAsia="zh-CN" w:bidi="ar"/>
              </w:rPr>
              <w:t>根据项目的实际发生的时间进行安排项目进度，对一些重点项目提前安排用地并实施。</w:t>
            </w:r>
          </w:p>
        </w:tc>
        <w:tc>
          <w:tcPr>
            <w:tcW w:w="1236" w:type="dxa"/>
            <w:noWrap w:val="0"/>
            <w:vAlign w:val="center"/>
          </w:tcPr>
          <w:p>
            <w:pPr>
              <w:keepNext w:val="0"/>
              <w:keepLines w:val="0"/>
              <w:widowControl/>
              <w:suppressLineNumbers w:val="0"/>
              <w:jc w:val="both"/>
              <w:textAlignment w:val="center"/>
              <w:rPr>
                <w:rFonts w:hint="eastAsia" w:ascii="宋体" w:hAnsi="宋体" w:eastAsia="宋体" w:cs="宋体"/>
                <w:sz w:val="16"/>
                <w:szCs w:val="16"/>
              </w:rPr>
            </w:pPr>
            <w:r>
              <w:rPr>
                <w:rFonts w:hint="eastAsia" w:ascii="宋体" w:hAnsi="宋体" w:eastAsia="宋体" w:cs="宋体"/>
                <w:i w:val="0"/>
                <w:iCs w:val="0"/>
                <w:snapToGrid w:val="0"/>
                <w:color w:val="000000"/>
                <w:kern w:val="0"/>
                <w:sz w:val="18"/>
                <w:szCs w:val="18"/>
                <w:u w:val="none"/>
                <w:lang w:val="en-US" w:eastAsia="zh-CN" w:bidi="ar"/>
              </w:rPr>
              <w:t>根据项目的实际发生的时间进行安排项目进度，对一些重点项目提前安排用地并实施。</w:t>
            </w:r>
          </w:p>
        </w:tc>
        <w:tc>
          <w:tcPr>
            <w:tcW w:w="1293" w:type="dxa"/>
            <w:noWrap w:val="0"/>
            <w:vAlign w:val="center"/>
          </w:tcPr>
          <w:p>
            <w:pPr>
              <w:keepNext w:val="0"/>
              <w:keepLines w:val="0"/>
              <w:widowControl/>
              <w:suppressLineNumbers w:val="0"/>
              <w:jc w:val="both"/>
              <w:textAlignment w:val="center"/>
              <w:rPr>
                <w:rFonts w:hint="eastAsia" w:ascii="宋体" w:hAnsi="宋体" w:eastAsia="宋体" w:cs="宋体"/>
                <w:sz w:val="16"/>
                <w:szCs w:val="16"/>
              </w:rPr>
            </w:pPr>
            <w:r>
              <w:rPr>
                <w:rFonts w:hint="eastAsia" w:ascii="宋体" w:hAnsi="宋体" w:eastAsia="宋体" w:cs="宋体"/>
                <w:i w:val="0"/>
                <w:iCs w:val="0"/>
                <w:snapToGrid w:val="0"/>
                <w:color w:val="000000"/>
                <w:kern w:val="0"/>
                <w:sz w:val="18"/>
                <w:szCs w:val="18"/>
                <w:u w:val="none"/>
                <w:lang w:val="en-US" w:eastAsia="zh-CN" w:bidi="ar"/>
              </w:rPr>
              <w:t>根据项目的实际发生的时间进行安排项目进度，对一些重点项目提前安排用地并实施。</w:t>
            </w:r>
          </w:p>
        </w:tc>
        <w:tc>
          <w:tcPr>
            <w:tcW w:w="1108" w:type="dxa"/>
            <w:noWrap w:val="0"/>
            <w:vAlign w:val="center"/>
          </w:tcPr>
          <w:p>
            <w:pPr>
              <w:keepNext w:val="0"/>
              <w:keepLines w:val="0"/>
              <w:widowControl/>
              <w:suppressLineNumbers w:val="0"/>
              <w:jc w:val="both"/>
              <w:textAlignment w:val="center"/>
              <w:rPr>
                <w:rFonts w:hint="eastAsia" w:ascii="宋体" w:hAnsi="宋体" w:eastAsia="宋体" w:cs="宋体"/>
                <w:sz w:val="16"/>
                <w:szCs w:val="16"/>
              </w:rPr>
            </w:pPr>
            <w:r>
              <w:rPr>
                <w:rFonts w:hint="eastAsia" w:ascii="宋体" w:hAnsi="宋体" w:eastAsia="宋体" w:cs="宋体"/>
                <w:i w:val="0"/>
                <w:iCs w:val="0"/>
                <w:snapToGrid w:val="0"/>
                <w:color w:val="000000"/>
                <w:kern w:val="0"/>
                <w:sz w:val="18"/>
                <w:szCs w:val="18"/>
                <w:u w:val="none"/>
                <w:lang w:val="en-US" w:eastAsia="zh-CN" w:bidi="ar"/>
              </w:rPr>
              <w:t>根据项目的实际发生的时间进行安排项目进度，对一些重点项目提前安排用地并实施。</w:t>
            </w:r>
          </w:p>
        </w:tc>
        <w:tc>
          <w:tcPr>
            <w:tcW w:w="784" w:type="dxa"/>
            <w:noWrap w:val="0"/>
            <w:vAlign w:val="center"/>
          </w:tcPr>
          <w:p>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i w:val="0"/>
                <w:iCs w:val="0"/>
                <w:snapToGrid w:val="0"/>
                <w:color w:val="000000"/>
                <w:kern w:val="0"/>
                <w:sz w:val="18"/>
                <w:szCs w:val="18"/>
                <w:u w:val="none"/>
                <w:lang w:val="en-US" w:eastAsia="zh-CN" w:bidi="ar"/>
              </w:rPr>
              <w:t>县自然资源局</w:t>
            </w:r>
          </w:p>
        </w:tc>
        <w:tc>
          <w:tcPr>
            <w:tcW w:w="971" w:type="dxa"/>
            <w:noWrap w:val="0"/>
            <w:vAlign w:val="center"/>
          </w:tcPr>
          <w:p>
            <w:pPr>
              <w:keepNext w:val="0"/>
              <w:keepLines w:val="0"/>
              <w:widowControl/>
              <w:suppressLineNumbers w:val="0"/>
              <w:jc w:val="center"/>
              <w:textAlignment w:val="center"/>
              <w:rPr>
                <w:rFonts w:hint="eastAsia" w:ascii="宋体" w:hAnsi="宋体" w:eastAsia="宋体" w:cs="宋体"/>
                <w:sz w:val="16"/>
                <w:szCs w:val="16"/>
              </w:rPr>
            </w:pPr>
            <w:r>
              <w:rPr>
                <w:rFonts w:hint="eastAsia" w:ascii="宋体" w:hAnsi="宋体" w:eastAsia="宋体" w:cs="宋体"/>
                <w:i w:val="0"/>
                <w:iCs w:val="0"/>
                <w:snapToGrid w:val="0"/>
                <w:color w:val="000000"/>
                <w:kern w:val="0"/>
                <w:sz w:val="18"/>
                <w:szCs w:val="18"/>
                <w:u w:val="none"/>
                <w:lang w:val="en-US" w:eastAsia="zh-CN" w:bidi="ar"/>
              </w:rPr>
              <w:t>王向东</w:t>
            </w:r>
          </w:p>
        </w:tc>
        <w:tc>
          <w:tcPr>
            <w:tcW w:w="1166" w:type="dxa"/>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snapToGrid w:val="0"/>
                <w:color w:val="000000"/>
                <w:kern w:val="0"/>
                <w:sz w:val="18"/>
                <w:szCs w:val="18"/>
                <w:u w:val="none"/>
                <w:lang w:val="en-US" w:eastAsia="zh-CN" w:bidi="ar"/>
              </w:rPr>
              <w:t>王志明13624394810</w:t>
            </w:r>
          </w:p>
        </w:tc>
      </w:tr>
    </w:tbl>
    <w:p>
      <w:pPr>
        <w:sectPr>
          <w:pgSz w:w="16838" w:h="11906" w:orient="landscape"/>
          <w:pgMar w:top="1800" w:right="1440" w:bottom="1800" w:left="1440" w:header="851" w:footer="992" w:gutter="0"/>
          <w:pgNumType w:fmt="decimal"/>
          <w:cols w:space="720" w:num="1"/>
          <w:docGrid w:type="lines" w:linePitch="312" w:charSpace="0"/>
        </w:sectPr>
      </w:pPr>
    </w:p>
    <w:p/>
    <w:tbl>
      <w:tblPr>
        <w:tblStyle w:val="5"/>
        <w:tblW w:w="14850"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13"/>
        <w:gridCol w:w="737"/>
        <w:gridCol w:w="1695"/>
        <w:gridCol w:w="1163"/>
        <w:gridCol w:w="1236"/>
        <w:gridCol w:w="1293"/>
        <w:gridCol w:w="1108"/>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20"/>
                <w:szCs w:val="20"/>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ascii="Arial"/>
                <w:sz w:val="20"/>
                <w:szCs w:val="20"/>
              </w:rPr>
            </w:pPr>
          </w:p>
        </w:tc>
        <w:tc>
          <w:tcPr>
            <w:tcW w:w="2013" w:type="dxa"/>
            <w:vMerge w:val="continue"/>
            <w:tcBorders>
              <w:top w:val="nil"/>
            </w:tcBorders>
            <w:noWrap w:val="0"/>
            <w:vAlign w:val="top"/>
          </w:tcPr>
          <w:p>
            <w:pPr>
              <w:jc w:val="center"/>
              <w:rPr>
                <w:rFonts w:ascii="Arial"/>
                <w:sz w:val="20"/>
                <w:szCs w:val="20"/>
              </w:rPr>
            </w:pPr>
          </w:p>
        </w:tc>
        <w:tc>
          <w:tcPr>
            <w:tcW w:w="737" w:type="dxa"/>
            <w:vMerge w:val="continue"/>
            <w:noWrap w:val="0"/>
            <w:vAlign w:val="top"/>
          </w:tcPr>
          <w:p>
            <w:pPr>
              <w:jc w:val="center"/>
              <w:rPr>
                <w:rFonts w:ascii="Arial" w:hAnsi="Arial" w:eastAsia="Arial" w:cs="Arial"/>
                <w:snapToGrid w:val="0"/>
                <w:color w:val="000000"/>
                <w:kern w:val="0"/>
                <w:sz w:val="20"/>
                <w:szCs w:val="20"/>
              </w:rPr>
            </w:pPr>
          </w:p>
        </w:tc>
        <w:tc>
          <w:tcPr>
            <w:tcW w:w="1695" w:type="dxa"/>
            <w:vMerge w:val="continue"/>
            <w:noWrap w:val="0"/>
            <w:vAlign w:val="top"/>
          </w:tcPr>
          <w:p>
            <w:pPr>
              <w:spacing w:before="58" w:line="239" w:lineRule="auto"/>
              <w:ind w:right="2"/>
              <w:jc w:val="center"/>
              <w:rPr>
                <w:rFonts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36"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293"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108"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ascii="Arial"/>
                <w:sz w:val="20"/>
                <w:szCs w:val="20"/>
              </w:rPr>
            </w:pPr>
          </w:p>
        </w:tc>
        <w:tc>
          <w:tcPr>
            <w:tcW w:w="971" w:type="dxa"/>
            <w:vMerge w:val="continue"/>
            <w:noWrap w:val="0"/>
            <w:vAlign w:val="top"/>
          </w:tcPr>
          <w:p>
            <w:pPr>
              <w:jc w:val="center"/>
              <w:rPr>
                <w:rFonts w:ascii="Arial"/>
                <w:sz w:val="20"/>
                <w:szCs w:val="20"/>
              </w:rPr>
            </w:pPr>
          </w:p>
        </w:tc>
        <w:tc>
          <w:tcPr>
            <w:tcW w:w="1166" w:type="dxa"/>
            <w:vMerge w:val="continue"/>
            <w:noWrap w:val="0"/>
            <w:vAlign w:val="top"/>
          </w:tcPr>
          <w:p>
            <w:pPr>
              <w:spacing w:line="267" w:lineRule="auto"/>
              <w:jc w:val="center"/>
              <w:rPr>
                <w:rFonts w:ascii="Arial"/>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462" w:type="dxa"/>
            <w:tcBorders>
              <w:bottom w:val="single" w:color="auto" w:sz="4" w:space="0"/>
            </w:tcBorders>
            <w:noWrap w:val="0"/>
            <w:vAlign w:val="center"/>
          </w:tcPr>
          <w:p>
            <w:pPr>
              <w:keepNext w:val="0"/>
              <w:keepLines w:val="0"/>
              <w:widowControl/>
              <w:suppressLineNumbers w:val="0"/>
              <w:jc w:val="center"/>
              <w:textAlignment w:val="center"/>
              <w:rPr>
                <w:rFonts w:ascii="Times New Roman" w:hAnsi="Times New Roman" w:eastAsia="Times New Roman" w:cs="Times New Roman"/>
                <w:sz w:val="21"/>
                <w:szCs w:val="21"/>
              </w:rPr>
            </w:pPr>
            <w:r>
              <w:rPr>
                <w:rFonts w:hint="eastAsia" w:ascii="宋体" w:hAnsi="宋体" w:eastAsia="宋体" w:cs="宋体"/>
                <w:i w:val="0"/>
                <w:iCs w:val="0"/>
                <w:color w:val="000000"/>
                <w:kern w:val="0"/>
                <w:sz w:val="18"/>
                <w:szCs w:val="18"/>
                <w:u w:val="none"/>
                <w:lang w:val="en-US" w:eastAsia="zh-CN" w:bidi="ar"/>
              </w:rPr>
              <w:t>2</w:t>
            </w:r>
          </w:p>
        </w:tc>
        <w:tc>
          <w:tcPr>
            <w:tcW w:w="1580" w:type="dxa"/>
            <w:tcBorders>
              <w:bottom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sz w:val="16"/>
                <w:szCs w:val="16"/>
                <w:lang w:val="en-US" w:eastAsia="zh-CN"/>
              </w:rPr>
            </w:pPr>
            <w:r>
              <w:rPr>
                <w:rFonts w:hint="eastAsia" w:ascii="宋体" w:hAnsi="宋体" w:eastAsia="宋体" w:cs="宋体"/>
                <w:i w:val="0"/>
                <w:iCs w:val="0"/>
                <w:color w:val="000000"/>
                <w:kern w:val="0"/>
                <w:sz w:val="18"/>
                <w:szCs w:val="18"/>
                <w:u w:val="none"/>
                <w:lang w:val="en-US" w:eastAsia="zh-CN" w:bidi="ar"/>
              </w:rPr>
              <w:t>对省级能源、交通、水利、军事设施、产业等单独选址项目用地，由省自然资源厅形成用地保障重点项目清单，统筹保障新增建设用地计划指标。</w:t>
            </w:r>
          </w:p>
        </w:tc>
        <w:tc>
          <w:tcPr>
            <w:tcW w:w="642" w:type="dxa"/>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6"/>
                <w:szCs w:val="16"/>
                <w:lang w:val="en-US" w:eastAsia="zh-CN"/>
              </w:rPr>
            </w:pPr>
            <w:r>
              <w:rPr>
                <w:rFonts w:hint="eastAsia" w:ascii="宋体" w:hAnsi="宋体" w:eastAsia="宋体" w:cs="宋体"/>
                <w:i w:val="0"/>
                <w:iCs w:val="0"/>
                <w:color w:val="000000"/>
                <w:kern w:val="0"/>
                <w:sz w:val="18"/>
                <w:szCs w:val="18"/>
                <w:u w:val="none"/>
                <w:lang w:val="en-US" w:eastAsia="zh-CN" w:bidi="ar"/>
              </w:rPr>
              <w:t>省自然资源厅</w:t>
            </w:r>
          </w:p>
        </w:tc>
        <w:tc>
          <w:tcPr>
            <w:tcW w:w="2013" w:type="dxa"/>
            <w:tcBorders>
              <w:bottom w:val="single" w:color="auto" w:sz="4" w:space="0"/>
            </w:tcBorders>
            <w:noWrap w:val="0"/>
            <w:vAlign w:val="center"/>
          </w:tcPr>
          <w:p>
            <w:pPr>
              <w:keepNext w:val="0"/>
              <w:keepLines w:val="0"/>
              <w:widowControl/>
              <w:suppressLineNumbers w:val="0"/>
              <w:jc w:val="both"/>
              <w:textAlignment w:val="center"/>
              <w:rPr>
                <w:rFonts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浑江区范围内单独选址项目由市级组卷上报省级，由省自然资源厅障新增建设用地计划指标。</w:t>
            </w:r>
          </w:p>
        </w:tc>
        <w:tc>
          <w:tcPr>
            <w:tcW w:w="737" w:type="dxa"/>
            <w:tcBorders>
              <w:bottom w:val="single" w:color="auto" w:sz="4" w:space="0"/>
            </w:tcBorders>
            <w:noWrap w:val="0"/>
            <w:vAlign w:val="center"/>
          </w:tcPr>
          <w:p>
            <w:pPr>
              <w:keepNext w:val="0"/>
              <w:keepLines w:val="0"/>
              <w:widowControl/>
              <w:suppressLineNumbers w:val="0"/>
              <w:jc w:val="center"/>
              <w:textAlignment w:val="center"/>
              <w:rPr>
                <w:rFonts w:ascii="宋体" w:hAnsi="宋体" w:eastAsia="宋体" w:cs="宋体"/>
                <w:snapToGrid w:val="0"/>
                <w:color w:val="000000"/>
                <w:spacing w:val="6"/>
                <w:kern w:val="0"/>
                <w:sz w:val="16"/>
                <w:szCs w:val="16"/>
              </w:rPr>
            </w:pPr>
            <w:r>
              <w:rPr>
                <w:rFonts w:hint="eastAsia" w:ascii="宋体" w:hAnsi="宋体" w:eastAsia="宋体" w:cs="宋体"/>
                <w:i w:val="0"/>
                <w:iCs w:val="0"/>
                <w:color w:val="000000"/>
                <w:kern w:val="0"/>
                <w:sz w:val="18"/>
                <w:szCs w:val="18"/>
                <w:u w:val="none"/>
                <w:lang w:val="en-US" w:eastAsia="zh-CN" w:bidi="ar"/>
              </w:rPr>
              <w:t>市自然资源局</w:t>
            </w:r>
          </w:p>
        </w:tc>
        <w:tc>
          <w:tcPr>
            <w:tcW w:w="1695" w:type="dxa"/>
            <w:tcBorders>
              <w:bottom w:val="single" w:color="auto" w:sz="4" w:space="0"/>
            </w:tcBorders>
            <w:noWrap w:val="0"/>
            <w:vAlign w:val="center"/>
          </w:tcPr>
          <w:p>
            <w:pPr>
              <w:keepNext w:val="0"/>
              <w:keepLines w:val="0"/>
              <w:widowControl/>
              <w:suppressLineNumbers w:val="0"/>
              <w:jc w:val="both"/>
              <w:textAlignment w:val="center"/>
              <w:rPr>
                <w:rFonts w:ascii="宋体" w:hAnsi="宋体" w:eastAsia="宋体" w:cs="宋体"/>
                <w:spacing w:val="6"/>
                <w:sz w:val="16"/>
                <w:szCs w:val="16"/>
              </w:rPr>
            </w:pPr>
            <w:r>
              <w:rPr>
                <w:rFonts w:hint="eastAsia" w:ascii="宋体" w:hAnsi="宋体" w:eastAsia="宋体" w:cs="宋体"/>
                <w:i w:val="0"/>
                <w:iCs w:val="0"/>
                <w:color w:val="000000"/>
                <w:kern w:val="0"/>
                <w:sz w:val="18"/>
                <w:szCs w:val="18"/>
                <w:u w:val="none"/>
                <w:lang w:val="en-US" w:eastAsia="zh-CN" w:bidi="ar"/>
              </w:rPr>
              <w:t>靖宇县域的省级单独选址项目，由靖宇县自然资源局组卷上报省自然资源厅，由省厅安排新增建设用地指标。</w:t>
            </w:r>
          </w:p>
        </w:tc>
        <w:tc>
          <w:tcPr>
            <w:tcW w:w="1163" w:type="dxa"/>
            <w:tcBorders>
              <w:bottom w:val="single" w:color="auto" w:sz="4" w:space="0"/>
            </w:tcBorders>
            <w:noWrap w:val="0"/>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根据项目发生随时办理。</w:t>
            </w:r>
          </w:p>
        </w:tc>
        <w:tc>
          <w:tcPr>
            <w:tcW w:w="1236" w:type="dxa"/>
            <w:tcBorders>
              <w:bottom w:val="single" w:color="auto" w:sz="4" w:space="0"/>
            </w:tcBorders>
            <w:noWrap w:val="0"/>
            <w:vAlign w:val="center"/>
          </w:tcPr>
          <w:p>
            <w:pPr>
              <w:keepNext w:val="0"/>
              <w:keepLines w:val="0"/>
              <w:widowControl/>
              <w:suppressLineNumbers w:val="0"/>
              <w:jc w:val="both"/>
              <w:textAlignment w:val="center"/>
              <w:rPr>
                <w:rFonts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根据项目发生随时办理。</w:t>
            </w:r>
          </w:p>
        </w:tc>
        <w:tc>
          <w:tcPr>
            <w:tcW w:w="1293" w:type="dxa"/>
            <w:tcBorders>
              <w:bottom w:val="single" w:color="auto" w:sz="4" w:space="0"/>
            </w:tcBorders>
            <w:noWrap w:val="0"/>
            <w:vAlign w:val="center"/>
          </w:tcPr>
          <w:p>
            <w:pPr>
              <w:keepNext w:val="0"/>
              <w:keepLines w:val="0"/>
              <w:widowControl/>
              <w:suppressLineNumbers w:val="0"/>
              <w:jc w:val="both"/>
              <w:textAlignment w:val="center"/>
              <w:rPr>
                <w:rFonts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根据项目发生随时办理。</w:t>
            </w:r>
          </w:p>
        </w:tc>
        <w:tc>
          <w:tcPr>
            <w:tcW w:w="1108" w:type="dxa"/>
            <w:tcBorders>
              <w:bottom w:val="single" w:color="auto" w:sz="4" w:space="0"/>
            </w:tcBorders>
            <w:noWrap w:val="0"/>
            <w:vAlign w:val="center"/>
          </w:tcPr>
          <w:p>
            <w:pPr>
              <w:keepNext w:val="0"/>
              <w:keepLines w:val="0"/>
              <w:widowControl/>
              <w:suppressLineNumbers w:val="0"/>
              <w:jc w:val="both"/>
              <w:textAlignment w:val="center"/>
              <w:rPr>
                <w:rFonts w:ascii="宋体" w:hAnsi="宋体" w:eastAsia="宋体" w:cs="宋体"/>
                <w:sz w:val="16"/>
                <w:szCs w:val="16"/>
              </w:rPr>
            </w:pPr>
            <w:r>
              <w:rPr>
                <w:rFonts w:hint="eastAsia" w:ascii="宋体" w:hAnsi="宋体" w:eastAsia="宋体" w:cs="宋体"/>
                <w:i w:val="0"/>
                <w:iCs w:val="0"/>
                <w:color w:val="000000"/>
                <w:kern w:val="0"/>
                <w:sz w:val="18"/>
                <w:szCs w:val="18"/>
                <w:u w:val="none"/>
                <w:lang w:val="en-US" w:eastAsia="zh-CN" w:bidi="ar"/>
              </w:rPr>
              <w:t>根据项目发生随时办理。</w:t>
            </w:r>
          </w:p>
        </w:tc>
        <w:tc>
          <w:tcPr>
            <w:tcW w:w="784" w:type="dxa"/>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6"/>
                <w:szCs w:val="16"/>
                <w:lang w:eastAsia="zh-CN"/>
              </w:rPr>
            </w:pPr>
            <w:r>
              <w:rPr>
                <w:rFonts w:hint="eastAsia" w:ascii="宋体" w:hAnsi="宋体" w:eastAsia="宋体" w:cs="宋体"/>
                <w:i w:val="0"/>
                <w:iCs w:val="0"/>
                <w:color w:val="000000"/>
                <w:kern w:val="0"/>
                <w:sz w:val="18"/>
                <w:szCs w:val="18"/>
                <w:u w:val="none"/>
                <w:lang w:val="en-US" w:eastAsia="zh-CN" w:bidi="ar"/>
              </w:rPr>
              <w:t>县自然资源局</w:t>
            </w:r>
          </w:p>
        </w:tc>
        <w:tc>
          <w:tcPr>
            <w:tcW w:w="971" w:type="dxa"/>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16"/>
                <w:szCs w:val="16"/>
                <w:lang w:eastAsia="zh-CN"/>
              </w:rPr>
            </w:pPr>
            <w:r>
              <w:rPr>
                <w:rFonts w:hint="eastAsia" w:ascii="宋体" w:hAnsi="宋体" w:eastAsia="宋体" w:cs="宋体"/>
                <w:i w:val="0"/>
                <w:iCs w:val="0"/>
                <w:color w:val="000000"/>
                <w:kern w:val="0"/>
                <w:sz w:val="18"/>
                <w:szCs w:val="18"/>
                <w:u w:val="none"/>
                <w:lang w:val="en-US" w:eastAsia="zh-CN" w:bidi="ar"/>
              </w:rPr>
              <w:t>王向东</w:t>
            </w:r>
          </w:p>
        </w:tc>
        <w:tc>
          <w:tcPr>
            <w:tcW w:w="1166" w:type="dxa"/>
            <w:tcBorders>
              <w:bottom w:val="single" w:color="auto" w:sz="4" w:space="0"/>
            </w:tcBorders>
            <w:noWrap w:val="0"/>
            <w:vAlign w:val="center"/>
          </w:tcPr>
          <w:p>
            <w:pPr>
              <w:keepNext w:val="0"/>
              <w:keepLines w:val="0"/>
              <w:widowControl/>
              <w:suppressLineNumbers w:val="0"/>
              <w:jc w:val="center"/>
              <w:textAlignment w:val="center"/>
              <w:rPr>
                <w:rFonts w:ascii="Times New Roman" w:hAnsi="Times New Roman" w:eastAsia="Times New Roman" w:cs="Times New Roman"/>
                <w:sz w:val="16"/>
                <w:szCs w:val="16"/>
              </w:rPr>
            </w:pPr>
            <w:r>
              <w:rPr>
                <w:rFonts w:hint="eastAsia" w:ascii="宋体" w:hAnsi="宋体" w:eastAsia="宋体" w:cs="宋体"/>
                <w:i w:val="0"/>
                <w:iCs w:val="0"/>
                <w:color w:val="000000"/>
                <w:kern w:val="0"/>
                <w:sz w:val="18"/>
                <w:szCs w:val="18"/>
                <w:u w:val="none"/>
                <w:lang w:val="en-US" w:eastAsia="zh-CN" w:bidi="ar"/>
              </w:rPr>
              <w:t>王志明13624394810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462" w:type="dxa"/>
            <w:tcBorders>
              <w:top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580" w:type="dxa"/>
            <w:tcBorders>
              <w:top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对于线性基础设施建设项目用地，农用地转用和土地征收均属省政府审批权限内的，允许以县(市、区)为单位分段报批用地。</w:t>
            </w:r>
          </w:p>
        </w:tc>
        <w:tc>
          <w:tcPr>
            <w:tcW w:w="642"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省自然资源厅</w:t>
            </w:r>
          </w:p>
        </w:tc>
        <w:tc>
          <w:tcPr>
            <w:tcW w:w="2013" w:type="dxa"/>
            <w:tcBorders>
              <w:top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线性基础设施项目用地，农用地转用和土地征收由各县（市、区）组卷上报省级审批，浑江区范围内由市级组卷上报省级审批。</w:t>
            </w:r>
          </w:p>
        </w:tc>
        <w:tc>
          <w:tcPr>
            <w:tcW w:w="737"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市自然资源局</w:t>
            </w:r>
          </w:p>
        </w:tc>
        <w:tc>
          <w:tcPr>
            <w:tcW w:w="1695" w:type="dxa"/>
            <w:tcBorders>
              <w:top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线性基础设施项目用地，农用地转用和土地征收由县组卷，上报省级审批</w:t>
            </w:r>
          </w:p>
        </w:tc>
        <w:tc>
          <w:tcPr>
            <w:tcW w:w="1163" w:type="dxa"/>
            <w:tcBorders>
              <w:top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根据项目发生随时办理。</w:t>
            </w:r>
          </w:p>
        </w:tc>
        <w:tc>
          <w:tcPr>
            <w:tcW w:w="1236" w:type="dxa"/>
            <w:tcBorders>
              <w:top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根据项目发生随时办理。</w:t>
            </w:r>
          </w:p>
        </w:tc>
        <w:tc>
          <w:tcPr>
            <w:tcW w:w="1293" w:type="dxa"/>
            <w:tcBorders>
              <w:top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根据项目发生随时办理。</w:t>
            </w:r>
          </w:p>
        </w:tc>
        <w:tc>
          <w:tcPr>
            <w:tcW w:w="1108" w:type="dxa"/>
            <w:tcBorders>
              <w:top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根据项目发生随时办理。</w:t>
            </w:r>
          </w:p>
        </w:tc>
        <w:tc>
          <w:tcPr>
            <w:tcW w:w="784"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县自然资源局</w:t>
            </w:r>
          </w:p>
        </w:tc>
        <w:tc>
          <w:tcPr>
            <w:tcW w:w="971"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王向东</w:t>
            </w:r>
          </w:p>
        </w:tc>
        <w:tc>
          <w:tcPr>
            <w:tcW w:w="1166"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刘宗麟13904497679</w:t>
            </w:r>
          </w:p>
        </w:tc>
      </w:tr>
    </w:tbl>
    <w:p>
      <w:pPr>
        <w:sectPr>
          <w:pgSz w:w="16838" w:h="11906" w:orient="landscape"/>
          <w:pgMar w:top="1800" w:right="1440" w:bottom="1800" w:left="1440" w:header="851" w:footer="992" w:gutter="0"/>
          <w:pgNumType w:fmt="decimal"/>
          <w:cols w:space="720" w:num="1"/>
          <w:docGrid w:type="lines" w:linePitch="312" w:charSpace="0"/>
        </w:sectPr>
      </w:pPr>
    </w:p>
    <w:p/>
    <w:tbl>
      <w:tblPr>
        <w:tblStyle w:val="5"/>
        <w:tblW w:w="14850"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13"/>
        <w:gridCol w:w="737"/>
        <w:gridCol w:w="1905"/>
        <w:gridCol w:w="953"/>
        <w:gridCol w:w="1236"/>
        <w:gridCol w:w="1293"/>
        <w:gridCol w:w="1108"/>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90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9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20"/>
                <w:szCs w:val="20"/>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ascii="Arial"/>
                <w:sz w:val="20"/>
                <w:szCs w:val="20"/>
              </w:rPr>
            </w:pPr>
          </w:p>
        </w:tc>
        <w:tc>
          <w:tcPr>
            <w:tcW w:w="2013" w:type="dxa"/>
            <w:vMerge w:val="continue"/>
            <w:tcBorders>
              <w:top w:val="nil"/>
            </w:tcBorders>
            <w:noWrap w:val="0"/>
            <w:vAlign w:val="top"/>
          </w:tcPr>
          <w:p>
            <w:pPr>
              <w:jc w:val="center"/>
              <w:rPr>
                <w:rFonts w:ascii="Arial"/>
                <w:sz w:val="20"/>
                <w:szCs w:val="20"/>
              </w:rPr>
            </w:pPr>
          </w:p>
        </w:tc>
        <w:tc>
          <w:tcPr>
            <w:tcW w:w="737" w:type="dxa"/>
            <w:vMerge w:val="continue"/>
            <w:noWrap w:val="0"/>
            <w:vAlign w:val="top"/>
          </w:tcPr>
          <w:p>
            <w:pPr>
              <w:jc w:val="center"/>
              <w:rPr>
                <w:rFonts w:ascii="Arial" w:hAnsi="Arial" w:eastAsia="Arial" w:cs="Arial"/>
                <w:snapToGrid w:val="0"/>
                <w:color w:val="000000"/>
                <w:kern w:val="0"/>
                <w:sz w:val="20"/>
                <w:szCs w:val="20"/>
              </w:rPr>
            </w:pPr>
          </w:p>
        </w:tc>
        <w:tc>
          <w:tcPr>
            <w:tcW w:w="1905" w:type="dxa"/>
            <w:vMerge w:val="continue"/>
            <w:noWrap w:val="0"/>
            <w:vAlign w:val="top"/>
          </w:tcPr>
          <w:p>
            <w:pPr>
              <w:spacing w:before="58" w:line="239" w:lineRule="auto"/>
              <w:ind w:right="2"/>
              <w:jc w:val="center"/>
              <w:rPr>
                <w:rFonts w:ascii="宋体" w:hAnsi="宋体" w:eastAsia="宋体" w:cs="宋体"/>
                <w:sz w:val="16"/>
                <w:szCs w:val="16"/>
              </w:rPr>
            </w:pPr>
          </w:p>
        </w:tc>
        <w:tc>
          <w:tcPr>
            <w:tcW w:w="95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36"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293"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108"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ascii="Arial"/>
                <w:sz w:val="20"/>
                <w:szCs w:val="20"/>
              </w:rPr>
            </w:pPr>
          </w:p>
        </w:tc>
        <w:tc>
          <w:tcPr>
            <w:tcW w:w="971" w:type="dxa"/>
            <w:vMerge w:val="continue"/>
            <w:noWrap w:val="0"/>
            <w:vAlign w:val="top"/>
          </w:tcPr>
          <w:p>
            <w:pPr>
              <w:jc w:val="center"/>
              <w:rPr>
                <w:rFonts w:ascii="Arial"/>
                <w:sz w:val="20"/>
                <w:szCs w:val="20"/>
              </w:rPr>
            </w:pPr>
          </w:p>
        </w:tc>
        <w:tc>
          <w:tcPr>
            <w:tcW w:w="1166" w:type="dxa"/>
            <w:vMerge w:val="continue"/>
            <w:noWrap w:val="0"/>
            <w:vAlign w:val="top"/>
          </w:tcPr>
          <w:p>
            <w:pPr>
              <w:spacing w:line="267" w:lineRule="auto"/>
              <w:jc w:val="center"/>
              <w:rPr>
                <w:rFonts w:ascii="Arial"/>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7"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支持工业企业主动选择适宜的用地方式，采取长期租赁、先租后让、弹性年期出让等方式取得土地。</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省自然资源厅</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严格按照上级文件精神保障工业用地需求。</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市自然资源局</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用地单位申请并符合相关条件的，依据法律法规实施供地。根据实际办理业务填报。</w:t>
            </w:r>
          </w:p>
        </w:tc>
        <w:tc>
          <w:tcPr>
            <w:tcW w:w="95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无此类业务发生。</w:t>
            </w:r>
          </w:p>
        </w:tc>
        <w:tc>
          <w:tcPr>
            <w:tcW w:w="1236"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按需供地。</w:t>
            </w:r>
          </w:p>
        </w:tc>
        <w:tc>
          <w:tcPr>
            <w:tcW w:w="129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按需供地。</w:t>
            </w:r>
          </w:p>
        </w:tc>
        <w:tc>
          <w:tcPr>
            <w:tcW w:w="110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按需供地。</w:t>
            </w:r>
          </w:p>
        </w:tc>
        <w:tc>
          <w:tcPr>
            <w:tcW w:w="78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县自然资源局</w:t>
            </w:r>
          </w:p>
        </w:tc>
        <w:tc>
          <w:tcPr>
            <w:tcW w:w="97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王向东</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石凤霞13843974792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2"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在确保土地市场公平公正公开的前提下，允许将产业类型、生产技术、节能环保等产业准入要求纳入供地条件，推进工业用地带条件招标、拍卖、挂牌、出让 (租赁) 。</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省自然资源厅</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严格按照上级文件精神保障工业用地需求。</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市自然资源局</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提高“招拍挂”机制效率，进一步衔接区域产业发展规划与用地政策，解决招商引资工作与“招拍挂”机制的矛盾，提高供地精准性。</w:t>
            </w:r>
          </w:p>
        </w:tc>
        <w:tc>
          <w:tcPr>
            <w:tcW w:w="95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按农用地转用时间先后进行收储，或对存量国有建设用地进行收储，然后进行招拍挂。</w:t>
            </w:r>
          </w:p>
        </w:tc>
        <w:tc>
          <w:tcPr>
            <w:tcW w:w="1236"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按农用地转用时间先后进行收储，或对存量国有建设用地进行收储，然后进行招拍挂。</w:t>
            </w:r>
          </w:p>
        </w:tc>
        <w:tc>
          <w:tcPr>
            <w:tcW w:w="129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按农用地转用时间先后进行收储，或对存量国有建设用地进行收储，然后进行招拍挂。</w:t>
            </w:r>
          </w:p>
        </w:tc>
        <w:tc>
          <w:tcPr>
            <w:tcW w:w="110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按农用地转用时间先后进行收储，或对存量国有建设用地进行收储，然后进行招拍挂。</w:t>
            </w:r>
          </w:p>
        </w:tc>
        <w:tc>
          <w:tcPr>
            <w:tcW w:w="78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县自然资源局</w:t>
            </w:r>
          </w:p>
        </w:tc>
        <w:tc>
          <w:tcPr>
            <w:tcW w:w="97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井延涛</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周俊15043900777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6"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在符合国土空间规划和用途管制要求的前提下，支持不同产业用地类型按程序合理转换，完善土地用途变更、整合、置换等政策。</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省自然资源厅</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严格遵照国土空间规划和用途管制要求，支持不同产业用地类型按程序合理转换，完善土地用途变更、整合、置换等政策。</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市自然资源局</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严格遵照符合最新县级国土空间规划并符合用途管制的要求下，支持不同产业用地类型按程序合理转换，完善土地用途变更、整合、置换等政策</w:t>
            </w:r>
          </w:p>
        </w:tc>
        <w:tc>
          <w:tcPr>
            <w:tcW w:w="95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按需随时办理。</w:t>
            </w:r>
          </w:p>
        </w:tc>
        <w:tc>
          <w:tcPr>
            <w:tcW w:w="1236"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按需随时办理。</w:t>
            </w:r>
          </w:p>
        </w:tc>
        <w:tc>
          <w:tcPr>
            <w:tcW w:w="129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按需随时办理。</w:t>
            </w:r>
          </w:p>
        </w:tc>
        <w:tc>
          <w:tcPr>
            <w:tcW w:w="110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按需随时办理。</w:t>
            </w:r>
          </w:p>
        </w:tc>
        <w:tc>
          <w:tcPr>
            <w:tcW w:w="78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县自然资源局</w:t>
            </w:r>
          </w:p>
        </w:tc>
        <w:tc>
          <w:tcPr>
            <w:tcW w:w="97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王向东</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张翔15643991928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90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9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20"/>
                <w:szCs w:val="20"/>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ascii="Arial"/>
                <w:sz w:val="20"/>
                <w:szCs w:val="20"/>
              </w:rPr>
            </w:pPr>
          </w:p>
        </w:tc>
        <w:tc>
          <w:tcPr>
            <w:tcW w:w="2013" w:type="dxa"/>
            <w:vMerge w:val="continue"/>
            <w:tcBorders>
              <w:top w:val="nil"/>
            </w:tcBorders>
            <w:noWrap w:val="0"/>
            <w:vAlign w:val="top"/>
          </w:tcPr>
          <w:p>
            <w:pPr>
              <w:jc w:val="center"/>
              <w:rPr>
                <w:rFonts w:ascii="Arial"/>
                <w:sz w:val="20"/>
                <w:szCs w:val="20"/>
              </w:rPr>
            </w:pPr>
          </w:p>
        </w:tc>
        <w:tc>
          <w:tcPr>
            <w:tcW w:w="737" w:type="dxa"/>
            <w:vMerge w:val="continue"/>
            <w:noWrap w:val="0"/>
            <w:vAlign w:val="top"/>
          </w:tcPr>
          <w:p>
            <w:pPr>
              <w:jc w:val="center"/>
              <w:rPr>
                <w:rFonts w:ascii="Arial" w:hAnsi="Arial" w:eastAsia="Arial" w:cs="Arial"/>
                <w:snapToGrid w:val="0"/>
                <w:color w:val="000000"/>
                <w:kern w:val="0"/>
                <w:sz w:val="20"/>
                <w:szCs w:val="20"/>
              </w:rPr>
            </w:pPr>
          </w:p>
        </w:tc>
        <w:tc>
          <w:tcPr>
            <w:tcW w:w="1905" w:type="dxa"/>
            <w:vMerge w:val="continue"/>
            <w:noWrap w:val="0"/>
            <w:vAlign w:val="top"/>
          </w:tcPr>
          <w:p>
            <w:pPr>
              <w:spacing w:before="58" w:line="239" w:lineRule="auto"/>
              <w:ind w:right="2"/>
              <w:jc w:val="center"/>
              <w:rPr>
                <w:rFonts w:ascii="宋体" w:hAnsi="宋体" w:eastAsia="宋体" w:cs="宋体"/>
                <w:sz w:val="16"/>
                <w:szCs w:val="16"/>
              </w:rPr>
            </w:pPr>
          </w:p>
        </w:tc>
        <w:tc>
          <w:tcPr>
            <w:tcW w:w="95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36"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293"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108"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ascii="Arial"/>
                <w:sz w:val="20"/>
                <w:szCs w:val="20"/>
              </w:rPr>
            </w:pPr>
          </w:p>
        </w:tc>
        <w:tc>
          <w:tcPr>
            <w:tcW w:w="971" w:type="dxa"/>
            <w:vMerge w:val="continue"/>
            <w:noWrap w:val="0"/>
            <w:vAlign w:val="top"/>
          </w:tcPr>
          <w:p>
            <w:pPr>
              <w:jc w:val="center"/>
              <w:rPr>
                <w:rFonts w:ascii="Arial"/>
                <w:sz w:val="20"/>
                <w:szCs w:val="20"/>
              </w:rPr>
            </w:pPr>
          </w:p>
        </w:tc>
        <w:tc>
          <w:tcPr>
            <w:tcW w:w="1166" w:type="dxa"/>
            <w:vMerge w:val="continue"/>
            <w:noWrap w:val="0"/>
            <w:vAlign w:val="top"/>
          </w:tcPr>
          <w:p>
            <w:pPr>
              <w:spacing w:line="267" w:lineRule="auto"/>
              <w:jc w:val="center"/>
              <w:rPr>
                <w:rFonts w:ascii="Arial"/>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对符合条件的乡村产业项目及其配套的基础设施和公共服务设施建设项目，依法进行点状报批和点状供应。</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省自然资源厅</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严格按照《吉林省自然 资源厅关于实施点状 供地助力乡村产业振 兴的指导意见》文件精 神，保障用地需求。</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市自然资源局</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在符合空间规划的前提下，依法依规办理农转和审批。</w:t>
            </w:r>
          </w:p>
        </w:tc>
        <w:tc>
          <w:tcPr>
            <w:tcW w:w="95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按需随时办理。</w:t>
            </w:r>
          </w:p>
        </w:tc>
        <w:tc>
          <w:tcPr>
            <w:tcW w:w="1236"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按需随时办理。</w:t>
            </w:r>
          </w:p>
        </w:tc>
        <w:tc>
          <w:tcPr>
            <w:tcW w:w="129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按需随时办理。</w:t>
            </w:r>
          </w:p>
        </w:tc>
        <w:tc>
          <w:tcPr>
            <w:tcW w:w="110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按需随时办理。</w:t>
            </w:r>
          </w:p>
        </w:tc>
        <w:tc>
          <w:tcPr>
            <w:tcW w:w="78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县自然资源局</w:t>
            </w:r>
          </w:p>
        </w:tc>
        <w:tc>
          <w:tcPr>
            <w:tcW w:w="97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王向东</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刘宗麟13904497679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积极推进建设项目“多测合一”改革，按照同一标的物只测一次原则，整合优化测绘事项，后续阶段充分共享已经形成的测绘成果。</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省自然资源厅</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按照省级任务分工各相关部门分别提出市里落实举措。</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市自然资源局</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严格按照上级任务分工，相关部门均已落实“多测合一”政策</w:t>
            </w:r>
          </w:p>
        </w:tc>
        <w:tc>
          <w:tcPr>
            <w:tcW w:w="953" w:type="dxa"/>
            <w:tcBorders>
              <w:top w:val="single" w:color="auto" w:sz="4" w:space="0"/>
              <w:bottom w:val="single" w:color="auto" w:sz="4" w:space="0"/>
            </w:tcBorders>
            <w:noWrap w:val="0"/>
            <w:vAlign w:val="center"/>
          </w:tcPr>
          <w:p>
            <w:pPr>
              <w:jc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督导检查.</w:t>
            </w:r>
          </w:p>
        </w:tc>
        <w:tc>
          <w:tcPr>
            <w:tcW w:w="1236" w:type="dxa"/>
            <w:tcBorders>
              <w:top w:val="single" w:color="auto" w:sz="4" w:space="0"/>
              <w:bottom w:val="single" w:color="auto" w:sz="4" w:space="0"/>
            </w:tcBorders>
            <w:noWrap w:val="0"/>
            <w:vAlign w:val="center"/>
          </w:tcPr>
          <w:p>
            <w:pPr>
              <w:jc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检查落实情况。</w:t>
            </w:r>
          </w:p>
        </w:tc>
        <w:tc>
          <w:tcPr>
            <w:tcW w:w="1293" w:type="dxa"/>
            <w:tcBorders>
              <w:top w:val="single" w:color="auto" w:sz="4" w:space="0"/>
              <w:bottom w:val="single" w:color="auto" w:sz="4" w:space="0"/>
            </w:tcBorders>
            <w:noWrap w:val="0"/>
            <w:vAlign w:val="center"/>
          </w:tcPr>
          <w:p>
            <w:pPr>
              <w:jc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抽查具体完成情况。</w:t>
            </w:r>
          </w:p>
        </w:tc>
        <w:tc>
          <w:tcPr>
            <w:tcW w:w="1108" w:type="dxa"/>
            <w:tcBorders>
              <w:top w:val="single" w:color="auto" w:sz="4" w:space="0"/>
              <w:bottom w:val="single" w:color="auto" w:sz="4" w:space="0"/>
            </w:tcBorders>
            <w:noWrap w:val="0"/>
            <w:vAlign w:val="center"/>
          </w:tcPr>
          <w:p>
            <w:pPr>
              <w:jc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随时省市部署安排。</w:t>
            </w:r>
          </w:p>
        </w:tc>
        <w:tc>
          <w:tcPr>
            <w:tcW w:w="78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县自然资源局</w:t>
            </w:r>
          </w:p>
        </w:tc>
        <w:tc>
          <w:tcPr>
            <w:tcW w:w="97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王向东</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张翔15643991928</w:t>
            </w:r>
          </w:p>
        </w:tc>
      </w:tr>
    </w:tbl>
    <w:p>
      <w:pPr>
        <w:sectPr>
          <w:pgSz w:w="16838" w:h="11906" w:orient="landscape"/>
          <w:pgMar w:top="1800" w:right="1440" w:bottom="1800" w:left="1440" w:header="851" w:footer="992" w:gutter="0"/>
          <w:pgNumType w:fmt="decimal"/>
          <w:cols w:space="720" w:num="1"/>
          <w:docGrid w:type="lines" w:linePitch="312" w:charSpace="0"/>
        </w:sectPr>
      </w:pPr>
    </w:p>
    <w:p/>
    <w:tbl>
      <w:tblPr>
        <w:tblStyle w:val="5"/>
        <w:tblW w:w="14850"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13"/>
        <w:gridCol w:w="737"/>
        <w:gridCol w:w="1905"/>
        <w:gridCol w:w="953"/>
        <w:gridCol w:w="1236"/>
        <w:gridCol w:w="1293"/>
        <w:gridCol w:w="1108"/>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90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9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20"/>
                <w:szCs w:val="20"/>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ascii="Arial"/>
                <w:sz w:val="20"/>
                <w:szCs w:val="20"/>
              </w:rPr>
            </w:pPr>
          </w:p>
        </w:tc>
        <w:tc>
          <w:tcPr>
            <w:tcW w:w="2013" w:type="dxa"/>
            <w:vMerge w:val="continue"/>
            <w:tcBorders>
              <w:top w:val="nil"/>
            </w:tcBorders>
            <w:noWrap w:val="0"/>
            <w:vAlign w:val="top"/>
          </w:tcPr>
          <w:p>
            <w:pPr>
              <w:jc w:val="center"/>
              <w:rPr>
                <w:rFonts w:ascii="Arial"/>
                <w:sz w:val="20"/>
                <w:szCs w:val="20"/>
              </w:rPr>
            </w:pPr>
          </w:p>
        </w:tc>
        <w:tc>
          <w:tcPr>
            <w:tcW w:w="737" w:type="dxa"/>
            <w:vMerge w:val="continue"/>
            <w:noWrap w:val="0"/>
            <w:vAlign w:val="top"/>
          </w:tcPr>
          <w:p>
            <w:pPr>
              <w:jc w:val="center"/>
              <w:rPr>
                <w:rFonts w:ascii="Arial" w:hAnsi="Arial" w:eastAsia="Arial" w:cs="Arial"/>
                <w:snapToGrid w:val="0"/>
                <w:color w:val="000000"/>
                <w:kern w:val="0"/>
                <w:sz w:val="20"/>
                <w:szCs w:val="20"/>
              </w:rPr>
            </w:pPr>
          </w:p>
        </w:tc>
        <w:tc>
          <w:tcPr>
            <w:tcW w:w="1905" w:type="dxa"/>
            <w:vMerge w:val="continue"/>
            <w:noWrap w:val="0"/>
            <w:vAlign w:val="top"/>
          </w:tcPr>
          <w:p>
            <w:pPr>
              <w:spacing w:before="58" w:line="239" w:lineRule="auto"/>
              <w:ind w:right="2"/>
              <w:jc w:val="center"/>
              <w:rPr>
                <w:rFonts w:ascii="宋体" w:hAnsi="宋体" w:eastAsia="宋体" w:cs="宋体"/>
                <w:sz w:val="16"/>
                <w:szCs w:val="16"/>
              </w:rPr>
            </w:pPr>
          </w:p>
        </w:tc>
        <w:tc>
          <w:tcPr>
            <w:tcW w:w="95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36"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293"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108"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ascii="Arial"/>
                <w:sz w:val="20"/>
                <w:szCs w:val="20"/>
              </w:rPr>
            </w:pPr>
          </w:p>
        </w:tc>
        <w:tc>
          <w:tcPr>
            <w:tcW w:w="971" w:type="dxa"/>
            <w:vMerge w:val="continue"/>
            <w:noWrap w:val="0"/>
            <w:vAlign w:val="top"/>
          </w:tcPr>
          <w:p>
            <w:pPr>
              <w:jc w:val="center"/>
              <w:rPr>
                <w:rFonts w:ascii="Arial"/>
                <w:sz w:val="20"/>
                <w:szCs w:val="20"/>
              </w:rPr>
            </w:pPr>
          </w:p>
        </w:tc>
        <w:tc>
          <w:tcPr>
            <w:tcW w:w="1166" w:type="dxa"/>
            <w:vMerge w:val="continue"/>
            <w:noWrap w:val="0"/>
            <w:vAlign w:val="top"/>
          </w:tcPr>
          <w:p>
            <w:pPr>
              <w:spacing w:line="267" w:lineRule="auto"/>
              <w:jc w:val="center"/>
              <w:rPr>
                <w:rFonts w:ascii="Arial"/>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trPr>
        <w:tc>
          <w:tcPr>
            <w:tcW w:w="462" w:type="dxa"/>
            <w:vMerge w:val="restart"/>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1580" w:type="dxa"/>
            <w:vMerge w:val="restart"/>
            <w:tcBorders>
              <w:top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完善稳增长重点企业和重大项目用电优先保障清单，通过部门协调联动机制，保障重点企业用电需求。</w:t>
            </w:r>
          </w:p>
        </w:tc>
        <w:tc>
          <w:tcPr>
            <w:tcW w:w="642" w:type="dxa"/>
            <w:vMerge w:val="restart"/>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省工业和信息化厅、省能源局、国网吉林省电力公司按职责分工负责</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对重点企业和重大项目通过用采系统监控客户用电负荷情况，加大用电检查力度，积极协助用户开展用电隐 患排查治理。</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白山供电公司</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搞好用电检查工作，做好重点企业的客户服务工作。</w:t>
            </w:r>
          </w:p>
        </w:tc>
        <w:tc>
          <w:tcPr>
            <w:tcW w:w="95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对三道湖镇、濛江乡、花园口镇进行用电检查。</w:t>
            </w:r>
          </w:p>
        </w:tc>
        <w:tc>
          <w:tcPr>
            <w:tcW w:w="1236"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对靖宇镇、龙泉镇进行用电检查。</w:t>
            </w:r>
          </w:p>
        </w:tc>
        <w:tc>
          <w:tcPr>
            <w:tcW w:w="129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对景山镇、赤松镇、那尔轰镇进行用电检查。</w:t>
            </w:r>
          </w:p>
        </w:tc>
        <w:tc>
          <w:tcPr>
            <w:tcW w:w="110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对重点企业开展用电营商服务。</w:t>
            </w:r>
          </w:p>
        </w:tc>
        <w:tc>
          <w:tcPr>
            <w:tcW w:w="78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吉林省地方电力有限公司靖宇分公司</w:t>
            </w:r>
          </w:p>
        </w:tc>
        <w:tc>
          <w:tcPr>
            <w:tcW w:w="97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王志刚</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刘科峰15500471898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462" w:type="dxa"/>
            <w:vMerge w:val="continue"/>
            <w:noWrap w:val="0"/>
            <w:vAlign w:val="top"/>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p>
        </w:tc>
        <w:tc>
          <w:tcPr>
            <w:tcW w:w="1580" w:type="dxa"/>
            <w:vMerge w:val="continue"/>
            <w:noWrap w:val="0"/>
            <w:vAlign w:val="top"/>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p>
        </w:tc>
        <w:tc>
          <w:tcPr>
            <w:tcW w:w="642" w:type="dxa"/>
            <w:vMerge w:val="continue"/>
            <w:noWrap w:val="0"/>
            <w:vAlign w:val="top"/>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p>
        </w:tc>
        <w:tc>
          <w:tcPr>
            <w:tcW w:w="2013"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配合保障重点企业用电需求。</w:t>
            </w:r>
          </w:p>
        </w:tc>
        <w:tc>
          <w:tcPr>
            <w:tcW w:w="73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市发改委</w:t>
            </w:r>
          </w:p>
        </w:tc>
        <w:tc>
          <w:tcPr>
            <w:tcW w:w="1905"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做好用电负荷管理工作</w:t>
            </w:r>
          </w:p>
        </w:tc>
        <w:tc>
          <w:tcPr>
            <w:tcW w:w="953"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协调供电企业保障重点企业用电供应。</w:t>
            </w:r>
          </w:p>
        </w:tc>
        <w:tc>
          <w:tcPr>
            <w:tcW w:w="1236"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协调供电企业保障重点企业用电供应。</w:t>
            </w:r>
          </w:p>
        </w:tc>
        <w:tc>
          <w:tcPr>
            <w:tcW w:w="1293"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协调供电企业保障重点企业用电供应。</w:t>
            </w:r>
          </w:p>
        </w:tc>
        <w:tc>
          <w:tcPr>
            <w:tcW w:w="1108"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协调供电企业保障重点企业用电供应。</w:t>
            </w:r>
          </w:p>
        </w:tc>
        <w:tc>
          <w:tcPr>
            <w:tcW w:w="784"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县发改局</w:t>
            </w:r>
          </w:p>
        </w:tc>
        <w:tc>
          <w:tcPr>
            <w:tcW w:w="971"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李歆</w:t>
            </w:r>
          </w:p>
        </w:tc>
        <w:tc>
          <w:tcPr>
            <w:tcW w:w="116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丁交禹18643971969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462" w:type="dxa"/>
            <w:vMerge w:val="continue"/>
            <w:noWrap w:val="0"/>
            <w:vAlign w:val="top"/>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p>
        </w:tc>
        <w:tc>
          <w:tcPr>
            <w:tcW w:w="1580" w:type="dxa"/>
            <w:vMerge w:val="continue"/>
            <w:noWrap w:val="0"/>
            <w:vAlign w:val="top"/>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p>
        </w:tc>
        <w:tc>
          <w:tcPr>
            <w:tcW w:w="642" w:type="dxa"/>
            <w:vMerge w:val="continue"/>
            <w:noWrap w:val="0"/>
            <w:vAlign w:val="top"/>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p>
        </w:tc>
        <w:tc>
          <w:tcPr>
            <w:tcW w:w="2013"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梳理完善全市稳增长重点企业用电优先保障清单，加强与供电部门协调、沟通，保障重点企业用电需求。</w:t>
            </w:r>
          </w:p>
        </w:tc>
        <w:tc>
          <w:tcPr>
            <w:tcW w:w="73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市工业和信息化局</w:t>
            </w:r>
          </w:p>
        </w:tc>
        <w:tc>
          <w:tcPr>
            <w:tcW w:w="1905"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梳理完善全县稳增长重点企业优先用电保障清单，加强与电力部门沟通协调，保障重点企业用电需求</w:t>
            </w:r>
          </w:p>
        </w:tc>
        <w:tc>
          <w:tcPr>
            <w:tcW w:w="953"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制定《靖宇县2023年稳增长重点企业用电优先保障清单》明确保障范围，进行企业调研。</w:t>
            </w:r>
          </w:p>
        </w:tc>
        <w:tc>
          <w:tcPr>
            <w:tcW w:w="1236"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组织相关部门开展重点企业用电需求排查。</w:t>
            </w:r>
          </w:p>
        </w:tc>
        <w:tc>
          <w:tcPr>
            <w:tcW w:w="1293"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实时检测重点企业用电情况。</w:t>
            </w:r>
          </w:p>
        </w:tc>
        <w:tc>
          <w:tcPr>
            <w:tcW w:w="1108"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实时检测重点企业用电情况。</w:t>
            </w:r>
          </w:p>
        </w:tc>
        <w:tc>
          <w:tcPr>
            <w:tcW w:w="784"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县工信局</w:t>
            </w:r>
          </w:p>
        </w:tc>
        <w:tc>
          <w:tcPr>
            <w:tcW w:w="971"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高洋</w:t>
            </w:r>
          </w:p>
        </w:tc>
        <w:tc>
          <w:tcPr>
            <w:tcW w:w="116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Style w:val="6"/>
                <w:lang w:val="en-US" w:eastAsia="zh-CN" w:bidi="ar"/>
              </w:rPr>
              <w:t>运行科</w:t>
            </w:r>
            <w:r>
              <w:rPr>
                <w:rStyle w:val="7"/>
                <w:lang w:val="en-US" w:eastAsia="zh-CN" w:bidi="ar"/>
              </w:rPr>
              <w:br w:type="textWrapping"/>
            </w:r>
            <w:r>
              <w:rPr>
                <w:rStyle w:val="7"/>
                <w:lang w:val="en-US" w:eastAsia="zh-CN" w:bidi="ar"/>
              </w:rPr>
              <w:t>营艳梅</w:t>
            </w:r>
            <w:r>
              <w:rPr>
                <w:rStyle w:val="7"/>
                <w:lang w:val="en-US" w:eastAsia="zh-CN" w:bidi="ar"/>
              </w:rPr>
              <w:br w:type="textWrapping"/>
            </w:r>
            <w:r>
              <w:rPr>
                <w:rStyle w:val="7"/>
                <w:lang w:val="en-US" w:eastAsia="zh-CN" w:bidi="ar"/>
              </w:rPr>
              <w:t>13596750949</w:t>
            </w:r>
          </w:p>
        </w:tc>
      </w:tr>
    </w:tbl>
    <w:p>
      <w:pPr>
        <w:sectPr>
          <w:pgSz w:w="16838" w:h="11906" w:orient="landscape"/>
          <w:pgMar w:top="1800" w:right="1440" w:bottom="1800" w:left="1440" w:header="851" w:footer="992" w:gutter="0"/>
          <w:pgNumType w:fmt="decimal"/>
          <w:cols w:space="720" w:num="1"/>
          <w:docGrid w:type="lines" w:linePitch="312" w:charSpace="0"/>
        </w:sectPr>
      </w:pPr>
    </w:p>
    <w:p/>
    <w:tbl>
      <w:tblPr>
        <w:tblStyle w:val="5"/>
        <w:tblW w:w="14850"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13"/>
        <w:gridCol w:w="737"/>
        <w:gridCol w:w="1905"/>
        <w:gridCol w:w="953"/>
        <w:gridCol w:w="1236"/>
        <w:gridCol w:w="1293"/>
        <w:gridCol w:w="1108"/>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90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9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20"/>
                <w:szCs w:val="20"/>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ascii="Arial"/>
                <w:sz w:val="20"/>
                <w:szCs w:val="20"/>
              </w:rPr>
            </w:pPr>
          </w:p>
        </w:tc>
        <w:tc>
          <w:tcPr>
            <w:tcW w:w="2013" w:type="dxa"/>
            <w:vMerge w:val="continue"/>
            <w:tcBorders>
              <w:top w:val="nil"/>
            </w:tcBorders>
            <w:noWrap w:val="0"/>
            <w:vAlign w:val="top"/>
          </w:tcPr>
          <w:p>
            <w:pPr>
              <w:jc w:val="center"/>
              <w:rPr>
                <w:rFonts w:ascii="Arial"/>
                <w:sz w:val="20"/>
                <w:szCs w:val="20"/>
              </w:rPr>
            </w:pPr>
          </w:p>
        </w:tc>
        <w:tc>
          <w:tcPr>
            <w:tcW w:w="737" w:type="dxa"/>
            <w:vMerge w:val="continue"/>
            <w:noWrap w:val="0"/>
            <w:vAlign w:val="top"/>
          </w:tcPr>
          <w:p>
            <w:pPr>
              <w:jc w:val="center"/>
              <w:rPr>
                <w:rFonts w:ascii="Arial" w:hAnsi="Arial" w:eastAsia="Arial" w:cs="Arial"/>
                <w:snapToGrid w:val="0"/>
                <w:color w:val="000000"/>
                <w:kern w:val="0"/>
                <w:sz w:val="20"/>
                <w:szCs w:val="20"/>
              </w:rPr>
            </w:pPr>
          </w:p>
        </w:tc>
        <w:tc>
          <w:tcPr>
            <w:tcW w:w="1905" w:type="dxa"/>
            <w:vMerge w:val="continue"/>
            <w:noWrap w:val="0"/>
            <w:vAlign w:val="top"/>
          </w:tcPr>
          <w:p>
            <w:pPr>
              <w:spacing w:before="58" w:line="239" w:lineRule="auto"/>
              <w:ind w:right="2"/>
              <w:jc w:val="center"/>
              <w:rPr>
                <w:rFonts w:ascii="宋体" w:hAnsi="宋体" w:eastAsia="宋体" w:cs="宋体"/>
                <w:sz w:val="16"/>
                <w:szCs w:val="16"/>
              </w:rPr>
            </w:pPr>
          </w:p>
        </w:tc>
        <w:tc>
          <w:tcPr>
            <w:tcW w:w="95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36"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293"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108"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ascii="Arial"/>
                <w:sz w:val="20"/>
                <w:szCs w:val="20"/>
              </w:rPr>
            </w:pPr>
          </w:p>
        </w:tc>
        <w:tc>
          <w:tcPr>
            <w:tcW w:w="971" w:type="dxa"/>
            <w:vMerge w:val="continue"/>
            <w:noWrap w:val="0"/>
            <w:vAlign w:val="top"/>
          </w:tcPr>
          <w:p>
            <w:pPr>
              <w:jc w:val="center"/>
              <w:rPr>
                <w:rFonts w:ascii="Arial"/>
                <w:sz w:val="20"/>
                <w:szCs w:val="20"/>
              </w:rPr>
            </w:pPr>
          </w:p>
        </w:tc>
        <w:tc>
          <w:tcPr>
            <w:tcW w:w="1166" w:type="dxa"/>
            <w:vMerge w:val="continue"/>
            <w:noWrap w:val="0"/>
            <w:vAlign w:val="top"/>
          </w:tcPr>
          <w:p>
            <w:pPr>
              <w:spacing w:line="267" w:lineRule="auto"/>
              <w:jc w:val="center"/>
              <w:rPr>
                <w:rFonts w:ascii="Arial"/>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462"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580"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强化企业电力保障，开辟办电“绿色通道”，降低客户办电成本。</w:t>
            </w:r>
          </w:p>
        </w:tc>
        <w:tc>
          <w:tcPr>
            <w:tcW w:w="642"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国网吉林省电力公司</w:t>
            </w:r>
          </w:p>
        </w:tc>
        <w:tc>
          <w:tcPr>
            <w:tcW w:w="2013"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组建业扩项目柔性团队，主动对接政府项目管理部门，提前介入，客户经理、项目经理协同推进。落实“三零”“三省”政策，满足要求的160kVA以下报装容量的居民及小微企业免费接入。省级工业园区、电能替代项目、充换电站投资至客户红线。</w:t>
            </w:r>
          </w:p>
        </w:tc>
        <w:tc>
          <w:tcPr>
            <w:tcW w:w="737"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白山供电公司</w:t>
            </w:r>
          </w:p>
        </w:tc>
        <w:tc>
          <w:tcPr>
            <w:tcW w:w="1905"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按方案落实好“三零”“三省”政策。</w:t>
            </w:r>
          </w:p>
        </w:tc>
        <w:tc>
          <w:tcPr>
            <w:tcW w:w="953"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按吉林省地方电力有限公司三年行动方案严格落实并长期坚持。</w:t>
            </w:r>
          </w:p>
        </w:tc>
        <w:tc>
          <w:tcPr>
            <w:tcW w:w="1236"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按吉林省地方电力有限公司三年行动方案严格落实并长期坚持。</w:t>
            </w:r>
          </w:p>
        </w:tc>
        <w:tc>
          <w:tcPr>
            <w:tcW w:w="1293"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按吉林省地方电力有限公司三年行动方案严格落实并长期坚持。</w:t>
            </w:r>
          </w:p>
        </w:tc>
        <w:tc>
          <w:tcPr>
            <w:tcW w:w="1108" w:type="dxa"/>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按吉林省地方电力有限公司三年行动方案严格落实并长期坚持。</w:t>
            </w:r>
          </w:p>
        </w:tc>
        <w:tc>
          <w:tcPr>
            <w:tcW w:w="784"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吉林省地方电力有限公司靖宇分公司</w:t>
            </w:r>
          </w:p>
        </w:tc>
        <w:tc>
          <w:tcPr>
            <w:tcW w:w="971"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王志刚</w:t>
            </w:r>
          </w:p>
        </w:tc>
        <w:tc>
          <w:tcPr>
            <w:tcW w:w="1166" w:type="dxa"/>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刘科峰15500471898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全力优化线上办电功能，加快报装接电速度。推进重点煤炭企业增产增供，优先保障省内电煤需求。</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省能源局、国网吉林省电力公司按职责分工负责</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积极宣传“网上国网 APP”，推广线上办电；压减办电环节，高压办电环节压减至4个，低压办电环节压减至3个。</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白山供电公司</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推广96659线上办电；压减办电环节，高压办电环节压减至4个，低压办电环节压减至3个。</w:t>
            </w:r>
          </w:p>
        </w:tc>
        <w:tc>
          <w:tcPr>
            <w:tcW w:w="95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不断推广线上业务，并严格按业扩报装实现完成。</w:t>
            </w:r>
          </w:p>
        </w:tc>
        <w:tc>
          <w:tcPr>
            <w:tcW w:w="1236"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不断推广线上业务，并严格按业扩报装实现完成。</w:t>
            </w:r>
          </w:p>
        </w:tc>
        <w:tc>
          <w:tcPr>
            <w:tcW w:w="129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不断推广线上业务，并严格按业扩报装实现完成。</w:t>
            </w:r>
          </w:p>
        </w:tc>
        <w:tc>
          <w:tcPr>
            <w:tcW w:w="110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不断推广线上业务，并严格按业扩报装实现完成。</w:t>
            </w:r>
          </w:p>
        </w:tc>
        <w:tc>
          <w:tcPr>
            <w:tcW w:w="78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吉林省地方电力有限公司靖宇分公司</w:t>
            </w:r>
          </w:p>
        </w:tc>
        <w:tc>
          <w:tcPr>
            <w:tcW w:w="97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王志刚</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刘科峰15500471898</w:t>
            </w:r>
          </w:p>
        </w:tc>
      </w:tr>
    </w:tbl>
    <w:p>
      <w:pPr>
        <w:sectPr>
          <w:pgSz w:w="16838" w:h="11906" w:orient="landscape"/>
          <w:pgMar w:top="1800" w:right="1440" w:bottom="1800" w:left="1440" w:header="851" w:footer="992" w:gutter="0"/>
          <w:pgNumType w:fmt="decimal"/>
          <w:cols w:space="720" w:num="1"/>
          <w:docGrid w:type="lines" w:linePitch="312" w:charSpace="0"/>
        </w:sectPr>
      </w:pPr>
    </w:p>
    <w:p/>
    <w:tbl>
      <w:tblPr>
        <w:tblStyle w:val="5"/>
        <w:tblW w:w="14850"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13"/>
        <w:gridCol w:w="737"/>
        <w:gridCol w:w="1905"/>
        <w:gridCol w:w="953"/>
        <w:gridCol w:w="1236"/>
        <w:gridCol w:w="1293"/>
        <w:gridCol w:w="1108"/>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90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9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20"/>
                <w:szCs w:val="20"/>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ascii="Arial"/>
                <w:sz w:val="20"/>
                <w:szCs w:val="20"/>
              </w:rPr>
            </w:pPr>
          </w:p>
        </w:tc>
        <w:tc>
          <w:tcPr>
            <w:tcW w:w="2013" w:type="dxa"/>
            <w:vMerge w:val="continue"/>
            <w:tcBorders>
              <w:top w:val="nil"/>
            </w:tcBorders>
            <w:noWrap w:val="0"/>
            <w:vAlign w:val="top"/>
          </w:tcPr>
          <w:p>
            <w:pPr>
              <w:jc w:val="center"/>
              <w:rPr>
                <w:rFonts w:ascii="Arial"/>
                <w:sz w:val="20"/>
                <w:szCs w:val="20"/>
              </w:rPr>
            </w:pPr>
          </w:p>
        </w:tc>
        <w:tc>
          <w:tcPr>
            <w:tcW w:w="737" w:type="dxa"/>
            <w:vMerge w:val="continue"/>
            <w:noWrap w:val="0"/>
            <w:vAlign w:val="top"/>
          </w:tcPr>
          <w:p>
            <w:pPr>
              <w:jc w:val="center"/>
              <w:rPr>
                <w:rFonts w:ascii="Arial" w:hAnsi="Arial" w:eastAsia="Arial" w:cs="Arial"/>
                <w:snapToGrid w:val="0"/>
                <w:color w:val="000000"/>
                <w:kern w:val="0"/>
                <w:sz w:val="20"/>
                <w:szCs w:val="20"/>
              </w:rPr>
            </w:pPr>
          </w:p>
        </w:tc>
        <w:tc>
          <w:tcPr>
            <w:tcW w:w="1905" w:type="dxa"/>
            <w:vMerge w:val="continue"/>
            <w:noWrap w:val="0"/>
            <w:vAlign w:val="top"/>
          </w:tcPr>
          <w:p>
            <w:pPr>
              <w:spacing w:before="58" w:line="239" w:lineRule="auto"/>
              <w:ind w:right="2"/>
              <w:jc w:val="center"/>
              <w:rPr>
                <w:rFonts w:ascii="宋体" w:hAnsi="宋体" w:eastAsia="宋体" w:cs="宋体"/>
                <w:sz w:val="16"/>
                <w:szCs w:val="16"/>
              </w:rPr>
            </w:pPr>
          </w:p>
        </w:tc>
        <w:tc>
          <w:tcPr>
            <w:tcW w:w="95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36"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293"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108"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ascii="Arial"/>
                <w:sz w:val="20"/>
                <w:szCs w:val="20"/>
              </w:rPr>
            </w:pPr>
          </w:p>
        </w:tc>
        <w:tc>
          <w:tcPr>
            <w:tcW w:w="971" w:type="dxa"/>
            <w:vMerge w:val="continue"/>
            <w:noWrap w:val="0"/>
            <w:vAlign w:val="top"/>
          </w:tcPr>
          <w:p>
            <w:pPr>
              <w:jc w:val="center"/>
              <w:rPr>
                <w:rFonts w:ascii="Arial"/>
                <w:sz w:val="20"/>
                <w:szCs w:val="20"/>
              </w:rPr>
            </w:pPr>
          </w:p>
        </w:tc>
        <w:tc>
          <w:tcPr>
            <w:tcW w:w="1166" w:type="dxa"/>
            <w:vMerge w:val="continue"/>
            <w:noWrap w:val="0"/>
            <w:vAlign w:val="top"/>
          </w:tcPr>
          <w:p>
            <w:pPr>
              <w:spacing w:line="267" w:lineRule="auto"/>
              <w:jc w:val="center"/>
              <w:rPr>
                <w:rFonts w:ascii="Arial"/>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按照国家发改委统一部署，整合差别化电价政策，建立统一的高耗能行业阶梯电价制度。</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省发展改革委、省工业和信息化厅按职责分工负责</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按照省工信厅统一部署，开展重点行业、重点企业行业能耗限额标准达标情况及阶梯电价政策执行情况专项监察。</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市工业和信息化局</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按照省工信厅统一部署，开展重点行业、重点企业行业能耗限额标准达标情况及阶梯电价政策执行情况专项监察工作.</w:t>
            </w:r>
          </w:p>
        </w:tc>
        <w:tc>
          <w:tcPr>
            <w:tcW w:w="95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按照省工信厅统一部署开展工作。</w:t>
            </w:r>
          </w:p>
        </w:tc>
        <w:tc>
          <w:tcPr>
            <w:tcW w:w="1236"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按照省工信厅统一部署开展工作。</w:t>
            </w:r>
          </w:p>
        </w:tc>
        <w:tc>
          <w:tcPr>
            <w:tcW w:w="129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按照省工信厅统一部署开展工作。</w:t>
            </w:r>
          </w:p>
        </w:tc>
        <w:tc>
          <w:tcPr>
            <w:tcW w:w="110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按照省工信厅统一部署开展工作。</w:t>
            </w:r>
          </w:p>
        </w:tc>
        <w:tc>
          <w:tcPr>
            <w:tcW w:w="78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县工信局</w:t>
            </w:r>
          </w:p>
        </w:tc>
        <w:tc>
          <w:tcPr>
            <w:tcW w:w="97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高洋</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Style w:val="6"/>
                <w:lang w:val="en-US" w:eastAsia="zh-CN" w:bidi="ar"/>
              </w:rPr>
              <w:t>运行科</w:t>
            </w:r>
            <w:r>
              <w:rPr>
                <w:rStyle w:val="7"/>
                <w:lang w:val="en-US" w:eastAsia="zh-CN" w:bidi="ar"/>
              </w:rPr>
              <w:br w:type="textWrapping"/>
            </w:r>
            <w:r>
              <w:rPr>
                <w:rStyle w:val="7"/>
                <w:lang w:val="en-US" w:eastAsia="zh-CN" w:bidi="ar"/>
              </w:rPr>
              <w:t>营艳梅</w:t>
            </w:r>
            <w:r>
              <w:rPr>
                <w:rStyle w:val="7"/>
                <w:lang w:val="en-US" w:eastAsia="zh-CN" w:bidi="ar"/>
              </w:rPr>
              <w:br w:type="textWrapping"/>
            </w:r>
            <w:r>
              <w:rPr>
                <w:rStyle w:val="7"/>
                <w:lang w:val="en-US" w:eastAsia="zh-CN" w:bidi="ar"/>
              </w:rPr>
              <w:t>13596750949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3"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落实省委、省政府《关于激发人才活力支持人才创新创业的若干政策措施 (3.0 版) 》 (吉发〔2022〕18 号) ，支持企业培养引进高端人才。</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省人力资源和社会保障厅负责</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全面贯彻习近平总书记关于做好新时代人才工作的重要思想，深入贯彻落实中央人才工作会议精神，认真落实学习习近平总书记视察吉林重要讲话重要指示精神，加快实施人才强省战略，建设新时代人才聚集高地。</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市人力资源和社会保障局</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围绕省人才3.0政策，研究制定靖宇县关于激发人才活力助力“1345”发展战略的实施意见和8个实施办法。</w:t>
            </w:r>
          </w:p>
        </w:tc>
        <w:tc>
          <w:tcPr>
            <w:tcW w:w="95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由人社局牵头,制定靖宇县关于激发人才活力助力“1345”发展战略的实施意见，报县委、县政府及各相关部门征求意见。</w:t>
            </w:r>
          </w:p>
        </w:tc>
        <w:tc>
          <w:tcPr>
            <w:tcW w:w="1236"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围绕县委县政府及各相关部门意见，对方案进行补充完善。</w:t>
            </w:r>
          </w:p>
        </w:tc>
        <w:tc>
          <w:tcPr>
            <w:tcW w:w="129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协调县委人才办，召开全县人才工作会议，讨论实施意见。</w:t>
            </w:r>
          </w:p>
        </w:tc>
        <w:tc>
          <w:tcPr>
            <w:tcW w:w="110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围绕各部门意见，对实施意见进行补充完善后，抓好贯彻落实。</w:t>
            </w:r>
          </w:p>
        </w:tc>
        <w:tc>
          <w:tcPr>
            <w:tcW w:w="78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县人力资源和社会保障局</w:t>
            </w:r>
          </w:p>
        </w:tc>
        <w:tc>
          <w:tcPr>
            <w:tcW w:w="97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徐东斌</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徐东斌0439-7265883</w:t>
            </w:r>
          </w:p>
        </w:tc>
      </w:tr>
    </w:tbl>
    <w:p>
      <w:pPr>
        <w:rPr>
          <w:rFonts w:hint="default" w:eastAsia="宋体"/>
          <w:lang w:val="en-US" w:eastAsia="zh-CN"/>
        </w:rPr>
        <w:sectPr>
          <w:pgSz w:w="16838" w:h="11906" w:orient="landscape"/>
          <w:pgMar w:top="1800" w:right="1440" w:bottom="1800" w:left="1440" w:header="851" w:footer="992" w:gutter="0"/>
          <w:pgNumType w:fmt="decimal"/>
          <w:cols w:space="720" w:num="1"/>
          <w:docGrid w:type="lines" w:linePitch="312" w:charSpace="0"/>
        </w:sectPr>
      </w:pPr>
    </w:p>
    <w:p>
      <w:pPr>
        <w:rPr>
          <w:rFonts w:hint="default" w:eastAsia="宋体"/>
          <w:lang w:val="en-US" w:eastAsia="zh-CN"/>
        </w:rPr>
      </w:pPr>
    </w:p>
    <w:tbl>
      <w:tblPr>
        <w:tblStyle w:val="5"/>
        <w:tblW w:w="14850"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13"/>
        <w:gridCol w:w="737"/>
        <w:gridCol w:w="1695"/>
        <w:gridCol w:w="1163"/>
        <w:gridCol w:w="1260"/>
        <w:gridCol w:w="1170"/>
        <w:gridCol w:w="1207"/>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20"/>
                <w:szCs w:val="20"/>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ascii="Arial"/>
                <w:sz w:val="20"/>
                <w:szCs w:val="20"/>
              </w:rPr>
            </w:pPr>
          </w:p>
        </w:tc>
        <w:tc>
          <w:tcPr>
            <w:tcW w:w="2013" w:type="dxa"/>
            <w:vMerge w:val="continue"/>
            <w:tcBorders>
              <w:top w:val="nil"/>
            </w:tcBorders>
            <w:noWrap w:val="0"/>
            <w:vAlign w:val="top"/>
          </w:tcPr>
          <w:p>
            <w:pPr>
              <w:jc w:val="center"/>
              <w:rPr>
                <w:rFonts w:ascii="Arial"/>
                <w:sz w:val="20"/>
                <w:szCs w:val="20"/>
              </w:rPr>
            </w:pPr>
          </w:p>
        </w:tc>
        <w:tc>
          <w:tcPr>
            <w:tcW w:w="737" w:type="dxa"/>
            <w:vMerge w:val="continue"/>
            <w:noWrap w:val="0"/>
            <w:vAlign w:val="top"/>
          </w:tcPr>
          <w:p>
            <w:pPr>
              <w:jc w:val="center"/>
              <w:rPr>
                <w:rFonts w:ascii="Arial" w:hAnsi="Arial" w:eastAsia="Arial" w:cs="Arial"/>
                <w:snapToGrid w:val="0"/>
                <w:color w:val="000000"/>
                <w:kern w:val="0"/>
                <w:sz w:val="20"/>
                <w:szCs w:val="20"/>
              </w:rPr>
            </w:pPr>
          </w:p>
        </w:tc>
        <w:tc>
          <w:tcPr>
            <w:tcW w:w="1695" w:type="dxa"/>
            <w:vMerge w:val="continue"/>
            <w:noWrap w:val="0"/>
            <w:vAlign w:val="top"/>
          </w:tcPr>
          <w:p>
            <w:pPr>
              <w:spacing w:before="58" w:line="239" w:lineRule="auto"/>
              <w:ind w:right="2"/>
              <w:jc w:val="center"/>
              <w:rPr>
                <w:rFonts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60"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170"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207"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ascii="Arial"/>
                <w:sz w:val="20"/>
                <w:szCs w:val="20"/>
              </w:rPr>
            </w:pPr>
          </w:p>
        </w:tc>
        <w:tc>
          <w:tcPr>
            <w:tcW w:w="971" w:type="dxa"/>
            <w:vMerge w:val="continue"/>
            <w:noWrap w:val="0"/>
            <w:vAlign w:val="top"/>
          </w:tcPr>
          <w:p>
            <w:pPr>
              <w:jc w:val="center"/>
              <w:rPr>
                <w:rFonts w:ascii="Arial"/>
                <w:sz w:val="20"/>
                <w:szCs w:val="20"/>
              </w:rPr>
            </w:pPr>
          </w:p>
        </w:tc>
        <w:tc>
          <w:tcPr>
            <w:tcW w:w="1166" w:type="dxa"/>
            <w:vMerge w:val="continue"/>
            <w:noWrap w:val="0"/>
            <w:vAlign w:val="top"/>
          </w:tcPr>
          <w:p>
            <w:pPr>
              <w:spacing w:line="267" w:lineRule="auto"/>
              <w:jc w:val="center"/>
              <w:rPr>
                <w:rFonts w:ascii="Arial"/>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深化人力资源市场领域“放管服”改革，全面推行人力资源服务许可告知承诺制。</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省人力资源和社会保障厅负责</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贯彻落实《吉林省人力 资源市场条例》，落实“双随机、一公开”年度报告公示等事中事后监管措施。全面推行人力资源服务许可告知承诺制。</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市人力资源和社会保障局</w:t>
            </w:r>
          </w:p>
        </w:tc>
        <w:tc>
          <w:tcPr>
            <w:tcW w:w="169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为进一步深化人力资源服务业“放管服”改革，优化营商环境，靖宇县人社局对申办人力资源服务机构提交的不完全事项实行告知承诺制度，当场作出审批决定，发放人力资源服务许可证。按文件要求落实“双随机、一公开”年度报告公示等事中事后监管措施。</w:t>
            </w:r>
          </w:p>
        </w:tc>
        <w:tc>
          <w:tcPr>
            <w:tcW w:w="116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人力资源许可证发放后的20个工作日内，对申请人的承诺内容是否属实进行检查。制定“双随机、一公开”工作计划，上传至省平台进行审核，本年度与县住建局联合抽查三家。</w:t>
            </w:r>
          </w:p>
        </w:tc>
        <w:tc>
          <w:tcPr>
            <w:tcW w:w="126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对于申办人力资源服务机构发现申请人实际情况与承诺内容不符的，行政审批机关要求其限期整改；整改后仍不符合条件的，依法撤销行政审批决定。</w:t>
            </w:r>
          </w:p>
        </w:tc>
        <w:tc>
          <w:tcPr>
            <w:tcW w:w="117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发现申请人实际情况与承诺内容不符的，行政审批机关要求其限期整改；整改后仍不符合条件的，依法撤销行政审批决定。</w:t>
            </w:r>
          </w:p>
        </w:tc>
        <w:tc>
          <w:tcPr>
            <w:tcW w:w="1207"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发现申请人实际情况与承诺内容不符的，行政审批机关要求其限期整改；整改后仍不符合条件的，依法撤销行政审批决定。与县住建局协商抽查具体时间，按计划联合检查，各自对检查内容进行检查，填报检查结果，上传至省平台进行第二次公示。</w:t>
            </w:r>
          </w:p>
        </w:tc>
        <w:tc>
          <w:tcPr>
            <w:tcW w:w="78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县人力资源和社会保障局</w:t>
            </w:r>
          </w:p>
        </w:tc>
        <w:tc>
          <w:tcPr>
            <w:tcW w:w="97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孙立东、付刚</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刘晔0439-7825517；刘文炳0439-7265897</w:t>
            </w:r>
          </w:p>
        </w:tc>
      </w:tr>
    </w:tbl>
    <w:p>
      <w:pPr>
        <w:sectPr>
          <w:pgSz w:w="16838" w:h="11906" w:orient="landscape"/>
          <w:pgMar w:top="1800" w:right="1440" w:bottom="1800" w:left="1440" w:header="851" w:footer="992" w:gutter="0"/>
          <w:pgNumType w:fmt="decimal"/>
          <w:cols w:space="720" w:num="1"/>
          <w:docGrid w:type="lines" w:linePitch="312" w:charSpace="0"/>
        </w:sectPr>
      </w:pPr>
    </w:p>
    <w:p/>
    <w:tbl>
      <w:tblPr>
        <w:tblStyle w:val="5"/>
        <w:tblW w:w="14850"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13"/>
        <w:gridCol w:w="737"/>
        <w:gridCol w:w="1905"/>
        <w:gridCol w:w="1188"/>
        <w:gridCol w:w="1001"/>
        <w:gridCol w:w="1293"/>
        <w:gridCol w:w="1108"/>
        <w:gridCol w:w="784"/>
        <w:gridCol w:w="971"/>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90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9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20"/>
                <w:szCs w:val="20"/>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ascii="Arial"/>
                <w:sz w:val="20"/>
                <w:szCs w:val="20"/>
              </w:rPr>
            </w:pPr>
          </w:p>
        </w:tc>
        <w:tc>
          <w:tcPr>
            <w:tcW w:w="2013" w:type="dxa"/>
            <w:vMerge w:val="continue"/>
            <w:tcBorders>
              <w:top w:val="nil"/>
            </w:tcBorders>
            <w:noWrap w:val="0"/>
            <w:vAlign w:val="top"/>
          </w:tcPr>
          <w:p>
            <w:pPr>
              <w:jc w:val="center"/>
              <w:rPr>
                <w:rFonts w:ascii="Arial"/>
                <w:sz w:val="20"/>
                <w:szCs w:val="20"/>
              </w:rPr>
            </w:pPr>
          </w:p>
        </w:tc>
        <w:tc>
          <w:tcPr>
            <w:tcW w:w="737" w:type="dxa"/>
            <w:vMerge w:val="continue"/>
            <w:noWrap w:val="0"/>
            <w:vAlign w:val="top"/>
          </w:tcPr>
          <w:p>
            <w:pPr>
              <w:jc w:val="center"/>
              <w:rPr>
                <w:rFonts w:ascii="Arial" w:hAnsi="Arial" w:eastAsia="Arial" w:cs="Arial"/>
                <w:snapToGrid w:val="0"/>
                <w:color w:val="000000"/>
                <w:kern w:val="0"/>
                <w:sz w:val="20"/>
                <w:szCs w:val="20"/>
              </w:rPr>
            </w:pPr>
          </w:p>
        </w:tc>
        <w:tc>
          <w:tcPr>
            <w:tcW w:w="1905" w:type="dxa"/>
            <w:vMerge w:val="continue"/>
            <w:noWrap w:val="0"/>
            <w:vAlign w:val="top"/>
          </w:tcPr>
          <w:p>
            <w:pPr>
              <w:spacing w:before="58" w:line="239" w:lineRule="auto"/>
              <w:ind w:right="2"/>
              <w:jc w:val="center"/>
              <w:rPr>
                <w:rFonts w:ascii="宋体" w:hAnsi="宋体" w:eastAsia="宋体" w:cs="宋体"/>
                <w:sz w:val="16"/>
                <w:szCs w:val="16"/>
              </w:rPr>
            </w:pPr>
          </w:p>
        </w:tc>
        <w:tc>
          <w:tcPr>
            <w:tcW w:w="1188"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001"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293"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108"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ascii="Arial"/>
                <w:sz w:val="20"/>
                <w:szCs w:val="20"/>
              </w:rPr>
            </w:pPr>
          </w:p>
        </w:tc>
        <w:tc>
          <w:tcPr>
            <w:tcW w:w="971" w:type="dxa"/>
            <w:vMerge w:val="continue"/>
            <w:noWrap w:val="0"/>
            <w:vAlign w:val="top"/>
          </w:tcPr>
          <w:p>
            <w:pPr>
              <w:jc w:val="center"/>
              <w:rPr>
                <w:rFonts w:ascii="Arial"/>
                <w:sz w:val="20"/>
                <w:szCs w:val="20"/>
              </w:rPr>
            </w:pPr>
          </w:p>
        </w:tc>
        <w:tc>
          <w:tcPr>
            <w:tcW w:w="1166" w:type="dxa"/>
            <w:vMerge w:val="continue"/>
            <w:noWrap w:val="0"/>
            <w:vAlign w:val="top"/>
          </w:tcPr>
          <w:p>
            <w:pPr>
              <w:spacing w:line="267" w:lineRule="auto"/>
              <w:jc w:val="center"/>
              <w:rPr>
                <w:rFonts w:ascii="Arial"/>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2"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落实“一企一人”包保帮扶机制，建立帮扶结对关系，“一对一”精准提供用工指导服务。</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省人力资源和社会保障厅负责</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充分发挥“两员一师”队伍作用，建立“一对一”服务机制，为企业精准提供用工指导服务。</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市人力资源和社会保障局</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建立日常联系服务机制，“一企一策”细化帮扶措施，帮助企业解难题、办实事、促发展。</w:t>
            </w:r>
          </w:p>
        </w:tc>
        <w:tc>
          <w:tcPr>
            <w:tcW w:w="118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成立工作领导小组，制定印发实施方案，做好“一人一企”对接活动，深入企业走访收集企业反映的问题及诉求。</w:t>
            </w:r>
          </w:p>
        </w:tc>
        <w:tc>
          <w:tcPr>
            <w:tcW w:w="1001"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深入企业走访调查活动，工作领导小组办公室定期召开会议，分析研究，充分调动本级力量资源，提出措施推动企业问题得到妥善解决。</w:t>
            </w:r>
          </w:p>
        </w:tc>
        <w:tc>
          <w:tcPr>
            <w:tcW w:w="129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服务专员每月至少与企业对接一次，深入企业走访调查。工作领导小组办公室定期召开会议分析研究，充分调动本级力量资源，提出措施推动企业提出问题得到妥善解决。</w:t>
            </w:r>
          </w:p>
        </w:tc>
        <w:tc>
          <w:tcPr>
            <w:tcW w:w="110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服务专员每月至少与企业对接一次，深入企业走访调查。如果我县工作领导小组无法解决的，提级报市级活动领导小组办公室研究解决。</w:t>
            </w:r>
          </w:p>
        </w:tc>
        <w:tc>
          <w:tcPr>
            <w:tcW w:w="78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县人力资源和社会保障局</w:t>
            </w:r>
          </w:p>
        </w:tc>
        <w:tc>
          <w:tcPr>
            <w:tcW w:w="97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孙立东</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刘晔0439-7825517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462" w:type="dxa"/>
            <w:tcBorders>
              <w:top w:val="single" w:color="auto" w:sz="4" w:space="0"/>
              <w:bottom w:val="single" w:color="auto" w:sz="4" w:space="0"/>
            </w:tcBorders>
            <w:noWrap w:val="0"/>
            <w:vAlign w:val="center"/>
          </w:tcPr>
          <w:p>
            <w:pPr>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color w:val="000000"/>
                <w:sz w:val="18"/>
                <w:szCs w:val="18"/>
                <w:lang w:bidi="ar"/>
              </w:rPr>
              <w:t>1</w:t>
            </w:r>
            <w:r>
              <w:rPr>
                <w:rFonts w:hint="eastAsia" w:ascii="宋体" w:hAnsi="宋体" w:eastAsia="宋体" w:cs="宋体"/>
                <w:color w:val="000000"/>
                <w:sz w:val="18"/>
                <w:szCs w:val="18"/>
                <w:lang w:val="en-US" w:eastAsia="zh-CN" w:bidi="ar"/>
              </w:rPr>
              <w:t>6</w:t>
            </w:r>
          </w:p>
        </w:tc>
        <w:tc>
          <w:tcPr>
            <w:tcW w:w="1580" w:type="dxa"/>
            <w:tcBorders>
              <w:top w:val="single" w:color="auto" w:sz="4" w:space="0"/>
              <w:bottom w:val="single" w:color="auto" w:sz="4" w:space="0"/>
            </w:tcBorders>
            <w:noWrap w:val="0"/>
            <w:vAlign w:val="center"/>
          </w:tcPr>
          <w:p>
            <w:pPr>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color w:val="000000"/>
                <w:sz w:val="18"/>
                <w:szCs w:val="18"/>
                <w:lang w:bidi="ar"/>
              </w:rPr>
              <w:t>推动高校与企业共建实习实训基地，建立学生实习实训反馈机制。</w:t>
            </w:r>
          </w:p>
        </w:tc>
        <w:tc>
          <w:tcPr>
            <w:tcW w:w="642" w:type="dxa"/>
            <w:tcBorders>
              <w:top w:val="single" w:color="auto" w:sz="4" w:space="0"/>
              <w:bottom w:val="single" w:color="auto" w:sz="4" w:space="0"/>
            </w:tcBorders>
            <w:noWrap w:val="0"/>
            <w:vAlign w:val="center"/>
          </w:tcPr>
          <w:p>
            <w:pPr>
              <w:jc w:val="center"/>
              <w:textAlignment w:val="center"/>
              <w:rPr>
                <w:rFonts w:hint="eastAsia" w:ascii="宋体" w:hAnsi="宋体" w:eastAsia="宋体" w:cs="宋体"/>
                <w:i w:val="0"/>
                <w:iCs w:val="0"/>
                <w:snapToGrid w:val="0"/>
                <w:color w:val="000000"/>
                <w:kern w:val="0"/>
                <w:sz w:val="18"/>
                <w:szCs w:val="18"/>
                <w:u w:val="none"/>
                <w:lang w:val="en-US" w:eastAsia="zh-CN"/>
              </w:rPr>
            </w:pPr>
            <w:r>
              <w:rPr>
                <w:rStyle w:val="8"/>
                <w:rFonts w:hint="default"/>
                <w:color w:val="000000"/>
                <w:lang w:bidi="ar"/>
              </w:rPr>
              <w:t>省</w:t>
            </w:r>
            <w:r>
              <w:rPr>
                <w:rStyle w:val="7"/>
                <w:rFonts w:hint="default"/>
                <w:color w:val="000000"/>
                <w:lang w:bidi="ar"/>
              </w:rPr>
              <w:t>教育厅负责</w:t>
            </w:r>
          </w:p>
        </w:tc>
        <w:tc>
          <w:tcPr>
            <w:tcW w:w="2013" w:type="dxa"/>
            <w:tcBorders>
              <w:top w:val="single" w:color="auto" w:sz="4" w:space="0"/>
              <w:bottom w:val="single" w:color="auto" w:sz="4" w:space="0"/>
            </w:tcBorders>
            <w:noWrap w:val="0"/>
            <w:vAlign w:val="center"/>
          </w:tcPr>
          <w:p>
            <w:pPr>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color w:val="000000"/>
                <w:sz w:val="16"/>
                <w:szCs w:val="16"/>
                <w:lang w:bidi="ar"/>
              </w:rPr>
              <w:t>1积极推动长白山职业技术学院与域内外相关企业共建实习实训基地，完善校企深度合作工作计划。2 ．建立学生实习实训反馈机制，定期到实习企业进行实地走访或电话咨询，根据企业的需求和学生的实际情况，动态调整各专业人才培养方案。</w:t>
            </w:r>
          </w:p>
        </w:tc>
        <w:tc>
          <w:tcPr>
            <w:tcW w:w="737" w:type="dxa"/>
            <w:tcBorders>
              <w:top w:val="single" w:color="auto" w:sz="4" w:space="0"/>
              <w:bottom w:val="single" w:color="auto" w:sz="4" w:space="0"/>
            </w:tcBorders>
            <w:noWrap w:val="0"/>
            <w:vAlign w:val="center"/>
          </w:tcPr>
          <w:p>
            <w:pPr>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color w:val="000000"/>
                <w:sz w:val="18"/>
                <w:szCs w:val="18"/>
                <w:lang w:bidi="ar"/>
              </w:rPr>
              <w:t>市教育局</w:t>
            </w:r>
          </w:p>
        </w:tc>
        <w:tc>
          <w:tcPr>
            <w:tcW w:w="1905" w:type="dxa"/>
            <w:tcBorders>
              <w:top w:val="single" w:color="auto" w:sz="4" w:space="0"/>
              <w:bottom w:val="single" w:color="auto" w:sz="4" w:space="0"/>
            </w:tcBorders>
            <w:noWrap w:val="0"/>
            <w:vAlign w:val="center"/>
          </w:tcPr>
          <w:p>
            <w:pPr>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color w:val="000000"/>
                <w:sz w:val="18"/>
                <w:szCs w:val="18"/>
                <w:lang w:bidi="ar"/>
              </w:rPr>
              <w:t>1.争取为靖宇县第一职业高级中学本年内找一到两家域内外企业，建立校企业合作。</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2.办好校内学生实习实训，根据学校的实际情况，动态调整各专业人才培养方案。</w:t>
            </w:r>
          </w:p>
        </w:tc>
        <w:tc>
          <w:tcPr>
            <w:tcW w:w="1188" w:type="dxa"/>
            <w:tcBorders>
              <w:top w:val="single" w:color="auto" w:sz="4" w:space="0"/>
              <w:bottom w:val="single" w:color="auto" w:sz="4" w:space="0"/>
            </w:tcBorders>
            <w:noWrap w:val="0"/>
            <w:vAlign w:val="center"/>
          </w:tcPr>
          <w:p>
            <w:pPr>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color w:val="000000"/>
                <w:sz w:val="18"/>
                <w:szCs w:val="18"/>
                <w:lang w:bidi="ar"/>
              </w:rPr>
              <w:t>做好校企业合作计划。</w:t>
            </w:r>
          </w:p>
        </w:tc>
        <w:tc>
          <w:tcPr>
            <w:tcW w:w="1001" w:type="dxa"/>
            <w:tcBorders>
              <w:top w:val="single" w:color="auto" w:sz="4" w:space="0"/>
              <w:bottom w:val="single" w:color="auto" w:sz="4" w:space="0"/>
            </w:tcBorders>
            <w:noWrap w:val="0"/>
            <w:vAlign w:val="center"/>
          </w:tcPr>
          <w:p>
            <w:pPr>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color w:val="000000"/>
                <w:sz w:val="18"/>
                <w:szCs w:val="18"/>
                <w:lang w:bidi="ar"/>
              </w:rPr>
              <w:t>上报靖宇县工商联，协调联系校企合作的企业。</w:t>
            </w:r>
          </w:p>
        </w:tc>
        <w:tc>
          <w:tcPr>
            <w:tcW w:w="1293" w:type="dxa"/>
            <w:tcBorders>
              <w:top w:val="single" w:color="auto" w:sz="4" w:space="0"/>
              <w:bottom w:val="single" w:color="auto" w:sz="4" w:space="0"/>
            </w:tcBorders>
            <w:noWrap w:val="0"/>
            <w:vAlign w:val="center"/>
          </w:tcPr>
          <w:p>
            <w:pPr>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color w:val="000000"/>
                <w:sz w:val="18"/>
                <w:szCs w:val="18"/>
                <w:lang w:bidi="ar"/>
              </w:rPr>
              <w:t>完善校企深度合作。</w:t>
            </w:r>
          </w:p>
        </w:tc>
        <w:tc>
          <w:tcPr>
            <w:tcW w:w="1108" w:type="dxa"/>
            <w:tcBorders>
              <w:top w:val="single" w:color="auto" w:sz="4" w:space="0"/>
              <w:bottom w:val="single" w:color="auto" w:sz="4" w:space="0"/>
            </w:tcBorders>
            <w:noWrap w:val="0"/>
            <w:vAlign w:val="center"/>
          </w:tcPr>
          <w:p>
            <w:pPr>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color w:val="000000"/>
                <w:sz w:val="18"/>
                <w:szCs w:val="18"/>
                <w:lang w:bidi="ar"/>
              </w:rPr>
              <w:t>安排学生到企业实习实训。</w:t>
            </w:r>
          </w:p>
        </w:tc>
        <w:tc>
          <w:tcPr>
            <w:tcW w:w="784" w:type="dxa"/>
            <w:tcBorders>
              <w:top w:val="single" w:color="auto" w:sz="4" w:space="0"/>
              <w:bottom w:val="single" w:color="auto" w:sz="4" w:space="0"/>
            </w:tcBorders>
            <w:noWrap w:val="0"/>
            <w:vAlign w:val="center"/>
          </w:tcPr>
          <w:p>
            <w:pPr>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color w:val="000000"/>
                <w:sz w:val="18"/>
                <w:szCs w:val="18"/>
                <w:lang w:bidi="ar"/>
              </w:rPr>
              <w:t>宇县教育局</w:t>
            </w:r>
          </w:p>
        </w:tc>
        <w:tc>
          <w:tcPr>
            <w:tcW w:w="971" w:type="dxa"/>
            <w:tcBorders>
              <w:top w:val="single" w:color="auto" w:sz="4" w:space="0"/>
              <w:bottom w:val="single" w:color="auto" w:sz="4" w:space="0"/>
            </w:tcBorders>
            <w:noWrap w:val="0"/>
            <w:vAlign w:val="center"/>
          </w:tcPr>
          <w:p>
            <w:pPr>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color w:val="000000"/>
                <w:sz w:val="18"/>
                <w:szCs w:val="18"/>
                <w:lang w:bidi="ar"/>
              </w:rPr>
              <w:t>苏华宇</w:t>
            </w:r>
          </w:p>
        </w:tc>
        <w:tc>
          <w:tcPr>
            <w:tcW w:w="1166" w:type="dxa"/>
            <w:tcBorders>
              <w:top w:val="single" w:color="auto" w:sz="4" w:space="0"/>
              <w:bottom w:val="single" w:color="auto" w:sz="4" w:space="0"/>
            </w:tcBorders>
            <w:noWrap w:val="0"/>
            <w:vAlign w:val="center"/>
          </w:tcPr>
          <w:p>
            <w:pPr>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color w:val="000000"/>
                <w:sz w:val="18"/>
                <w:szCs w:val="18"/>
                <w:lang w:bidi="ar"/>
              </w:rPr>
              <w:t>职成科邵海</w:t>
            </w:r>
            <w:r>
              <w:rPr>
                <w:rFonts w:hint="eastAsia" w:ascii="宋体" w:hAnsi="宋体" w:eastAsia="宋体" w:cs="宋体"/>
                <w:color w:val="000000"/>
                <w:sz w:val="18"/>
                <w:szCs w:val="18"/>
                <w:lang w:bidi="ar"/>
              </w:rPr>
              <w:br w:type="textWrapping"/>
            </w:r>
            <w:r>
              <w:rPr>
                <w:rFonts w:hint="eastAsia" w:ascii="宋体" w:hAnsi="宋体" w:eastAsia="宋体" w:cs="宋体"/>
                <w:color w:val="000000"/>
                <w:sz w:val="18"/>
                <w:szCs w:val="18"/>
                <w:lang w:bidi="ar"/>
              </w:rPr>
              <w:t>13179170029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90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9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20"/>
                <w:szCs w:val="20"/>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ascii="Arial"/>
                <w:sz w:val="20"/>
                <w:szCs w:val="20"/>
              </w:rPr>
            </w:pPr>
          </w:p>
        </w:tc>
        <w:tc>
          <w:tcPr>
            <w:tcW w:w="2013" w:type="dxa"/>
            <w:vMerge w:val="continue"/>
            <w:tcBorders>
              <w:top w:val="nil"/>
            </w:tcBorders>
            <w:noWrap w:val="0"/>
            <w:vAlign w:val="top"/>
          </w:tcPr>
          <w:p>
            <w:pPr>
              <w:jc w:val="center"/>
              <w:rPr>
                <w:rFonts w:ascii="Arial"/>
                <w:sz w:val="20"/>
                <w:szCs w:val="20"/>
              </w:rPr>
            </w:pPr>
          </w:p>
        </w:tc>
        <w:tc>
          <w:tcPr>
            <w:tcW w:w="737" w:type="dxa"/>
            <w:vMerge w:val="continue"/>
            <w:noWrap w:val="0"/>
            <w:vAlign w:val="top"/>
          </w:tcPr>
          <w:p>
            <w:pPr>
              <w:jc w:val="center"/>
              <w:rPr>
                <w:rFonts w:ascii="Arial" w:hAnsi="Arial" w:eastAsia="Arial" w:cs="Arial"/>
                <w:snapToGrid w:val="0"/>
                <w:color w:val="000000"/>
                <w:kern w:val="0"/>
                <w:sz w:val="20"/>
                <w:szCs w:val="20"/>
              </w:rPr>
            </w:pPr>
          </w:p>
        </w:tc>
        <w:tc>
          <w:tcPr>
            <w:tcW w:w="1905" w:type="dxa"/>
            <w:vMerge w:val="continue"/>
            <w:noWrap w:val="0"/>
            <w:vAlign w:val="top"/>
          </w:tcPr>
          <w:p>
            <w:pPr>
              <w:spacing w:before="58" w:line="239" w:lineRule="auto"/>
              <w:ind w:right="2"/>
              <w:jc w:val="center"/>
              <w:rPr>
                <w:rFonts w:ascii="宋体" w:hAnsi="宋体" w:eastAsia="宋体" w:cs="宋体"/>
                <w:sz w:val="16"/>
                <w:szCs w:val="16"/>
              </w:rPr>
            </w:pPr>
          </w:p>
        </w:tc>
        <w:tc>
          <w:tcPr>
            <w:tcW w:w="1188"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001"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293"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108"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ascii="Arial"/>
                <w:sz w:val="20"/>
                <w:szCs w:val="20"/>
              </w:rPr>
            </w:pPr>
          </w:p>
        </w:tc>
        <w:tc>
          <w:tcPr>
            <w:tcW w:w="971" w:type="dxa"/>
            <w:vMerge w:val="continue"/>
            <w:noWrap w:val="0"/>
            <w:vAlign w:val="top"/>
          </w:tcPr>
          <w:p>
            <w:pPr>
              <w:jc w:val="center"/>
              <w:rPr>
                <w:rFonts w:ascii="Arial"/>
                <w:sz w:val="20"/>
                <w:szCs w:val="20"/>
              </w:rPr>
            </w:pPr>
          </w:p>
        </w:tc>
        <w:tc>
          <w:tcPr>
            <w:tcW w:w="1166" w:type="dxa"/>
            <w:vMerge w:val="continue"/>
            <w:noWrap w:val="0"/>
            <w:vAlign w:val="top"/>
          </w:tcPr>
          <w:p>
            <w:pPr>
              <w:spacing w:line="267" w:lineRule="auto"/>
              <w:jc w:val="center"/>
              <w:rPr>
                <w:rFonts w:ascii="Arial"/>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开展企业“双贯通”人才评价，支持高技能人才参加职称评审，鼓励专业人才参加职业技能评价。</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省人力资源和社会保障厅负责</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贯彻落实省人社厅《关于做好全省2023年职称制度改革和职称评审工作有关事宜的通知》(吉人社函〔2023〕8号)精神，进一步深化职称制度改革，实施高技能人才和专业技术人才职业发展贯通。</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市人力资源和社会保障局</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围绕省人才3.0政策，积极对全县企业单位进行宣传。</w:t>
            </w:r>
          </w:p>
        </w:tc>
        <w:tc>
          <w:tcPr>
            <w:tcW w:w="118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对专业技术人员较多的企业进行汇总。</w:t>
            </w:r>
          </w:p>
        </w:tc>
        <w:tc>
          <w:tcPr>
            <w:tcW w:w="1001"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开展政策解读。</w:t>
            </w:r>
          </w:p>
        </w:tc>
        <w:tc>
          <w:tcPr>
            <w:tcW w:w="129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进行培训。</w:t>
            </w:r>
          </w:p>
        </w:tc>
        <w:tc>
          <w:tcPr>
            <w:tcW w:w="110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等待2024年职称申报。</w:t>
            </w:r>
          </w:p>
        </w:tc>
        <w:tc>
          <w:tcPr>
            <w:tcW w:w="78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县人力资源和社会保障局</w:t>
            </w:r>
          </w:p>
        </w:tc>
        <w:tc>
          <w:tcPr>
            <w:tcW w:w="97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付刚</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徐卉霞0439-7222074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确定补贴性职业技能培训目标，加大对农民工、“两后生”、失业人员等无技能和低技能群体培训。</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省人力资源和社会保障厅负责</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推荐措施：按照市级统筹，部门参与，市县实施的原则，充分调动、督导县(市、区)、各部门和社会各方面力量参与到职业技能提升行动中来，突出重点就业群体促就业技能提升培训。加大火山石工艺品 制作、手工编织、药材、 花卉种植加工、食用菌 种植加工、家畜养殖、冰雪旅游、现代服务业 等市场紧缺工种技能 项目培训。</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市人力资源和社会保障局</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通过多种渠道宣传职业技能提升行动，加大对“农民工”、“两后生”等五技能和低技能群体培训。按需开展职业技能培训。持续优化培训服务，提升职业技能。</w:t>
            </w:r>
          </w:p>
        </w:tc>
        <w:tc>
          <w:tcPr>
            <w:tcW w:w="118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把培训场所和实习基地放在人口相对较多的村屯，贴近农村，方便农民，根据农民工、失业人员和大学生等重点群体需求开设手工编织、线上计算机、网络直播销售员、网络创业、电工电焊、面点等课程。</w:t>
            </w:r>
          </w:p>
        </w:tc>
        <w:tc>
          <w:tcPr>
            <w:tcW w:w="1001"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积极组织培训机构深入乡镇、社区、村屯开展“点对点”等形式的培训，按需求开设手工编织、线上计算机、网络直播销售员、网络创业、电工电焊、面点等课程。</w:t>
            </w:r>
          </w:p>
        </w:tc>
        <w:tc>
          <w:tcPr>
            <w:tcW w:w="129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培训坚持与劳动力培训意愿、就业需求、产业发展和市场用工需求等因素向结合，开展项目制、订单式培训。</w:t>
            </w:r>
          </w:p>
        </w:tc>
        <w:tc>
          <w:tcPr>
            <w:tcW w:w="110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加大对农民工、失业人员能低技能群体培训，细化培训项目流程、培训补贴申报材料、培训课程内容等服务事项，针对有培训意愿的暂不能外出务工的重点人群积极动员参加技能培训提升就业能力。</w:t>
            </w:r>
          </w:p>
        </w:tc>
        <w:tc>
          <w:tcPr>
            <w:tcW w:w="78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县人力资源和社会保障局</w:t>
            </w:r>
          </w:p>
        </w:tc>
        <w:tc>
          <w:tcPr>
            <w:tcW w:w="97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孙立东</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刘晔0439-782551</w:t>
            </w:r>
          </w:p>
        </w:tc>
      </w:tr>
    </w:tbl>
    <w:p>
      <w:pPr>
        <w:rPr>
          <w:rFonts w:hint="default" w:eastAsia="宋体"/>
          <w:lang w:val="en-US" w:eastAsia="zh-CN"/>
        </w:rPr>
      </w:pPr>
    </w:p>
    <w:p>
      <w:pPr>
        <w:rPr>
          <w:rFonts w:hint="default" w:eastAsia="宋体"/>
          <w:lang w:val="en-US" w:eastAsia="zh-CN"/>
        </w:rPr>
      </w:pPr>
    </w:p>
    <w:tbl>
      <w:tblPr>
        <w:tblStyle w:val="5"/>
        <w:tblW w:w="14850"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13"/>
        <w:gridCol w:w="737"/>
        <w:gridCol w:w="1695"/>
        <w:gridCol w:w="1163"/>
        <w:gridCol w:w="1260"/>
        <w:gridCol w:w="1170"/>
        <w:gridCol w:w="1207"/>
        <w:gridCol w:w="851"/>
        <w:gridCol w:w="904"/>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69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80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851"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04" w:type="dxa"/>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20"/>
                <w:szCs w:val="20"/>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ascii="Arial"/>
                <w:sz w:val="20"/>
                <w:szCs w:val="20"/>
              </w:rPr>
            </w:pPr>
          </w:p>
        </w:tc>
        <w:tc>
          <w:tcPr>
            <w:tcW w:w="2013" w:type="dxa"/>
            <w:vMerge w:val="continue"/>
            <w:tcBorders>
              <w:top w:val="nil"/>
            </w:tcBorders>
            <w:noWrap w:val="0"/>
            <w:vAlign w:val="top"/>
          </w:tcPr>
          <w:p>
            <w:pPr>
              <w:jc w:val="center"/>
              <w:rPr>
                <w:rFonts w:ascii="Arial"/>
                <w:sz w:val="20"/>
                <w:szCs w:val="20"/>
              </w:rPr>
            </w:pPr>
          </w:p>
        </w:tc>
        <w:tc>
          <w:tcPr>
            <w:tcW w:w="737" w:type="dxa"/>
            <w:vMerge w:val="continue"/>
            <w:noWrap w:val="0"/>
            <w:vAlign w:val="top"/>
          </w:tcPr>
          <w:p>
            <w:pPr>
              <w:jc w:val="center"/>
              <w:rPr>
                <w:rFonts w:ascii="Arial" w:hAnsi="Arial" w:eastAsia="Arial" w:cs="Arial"/>
                <w:snapToGrid w:val="0"/>
                <w:color w:val="000000"/>
                <w:kern w:val="0"/>
                <w:sz w:val="20"/>
                <w:szCs w:val="20"/>
              </w:rPr>
            </w:pPr>
          </w:p>
        </w:tc>
        <w:tc>
          <w:tcPr>
            <w:tcW w:w="1695" w:type="dxa"/>
            <w:vMerge w:val="continue"/>
            <w:noWrap w:val="0"/>
            <w:vAlign w:val="top"/>
          </w:tcPr>
          <w:p>
            <w:pPr>
              <w:spacing w:before="58" w:line="239" w:lineRule="auto"/>
              <w:ind w:right="2"/>
              <w:jc w:val="center"/>
              <w:rPr>
                <w:rFonts w:ascii="宋体" w:hAnsi="宋体" w:eastAsia="宋体" w:cs="宋体"/>
                <w:sz w:val="16"/>
                <w:szCs w:val="16"/>
              </w:rPr>
            </w:pPr>
          </w:p>
        </w:tc>
        <w:tc>
          <w:tcPr>
            <w:tcW w:w="116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60"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170"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207"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851" w:type="dxa"/>
            <w:vMerge w:val="continue"/>
            <w:tcBorders>
              <w:top w:val="nil"/>
            </w:tcBorders>
            <w:noWrap w:val="0"/>
            <w:vAlign w:val="top"/>
          </w:tcPr>
          <w:p>
            <w:pPr>
              <w:jc w:val="center"/>
              <w:rPr>
                <w:rFonts w:ascii="Arial"/>
                <w:sz w:val="20"/>
                <w:szCs w:val="20"/>
              </w:rPr>
            </w:pPr>
          </w:p>
        </w:tc>
        <w:tc>
          <w:tcPr>
            <w:tcW w:w="904" w:type="dxa"/>
            <w:vMerge w:val="continue"/>
            <w:noWrap w:val="0"/>
            <w:vAlign w:val="top"/>
          </w:tcPr>
          <w:p>
            <w:pPr>
              <w:jc w:val="center"/>
              <w:rPr>
                <w:rFonts w:ascii="Arial"/>
                <w:sz w:val="20"/>
                <w:szCs w:val="20"/>
              </w:rPr>
            </w:pPr>
          </w:p>
        </w:tc>
        <w:tc>
          <w:tcPr>
            <w:tcW w:w="1166" w:type="dxa"/>
            <w:vMerge w:val="continue"/>
            <w:noWrap w:val="0"/>
            <w:vAlign w:val="top"/>
          </w:tcPr>
          <w:p>
            <w:pPr>
              <w:spacing w:line="267" w:lineRule="auto"/>
              <w:jc w:val="center"/>
              <w:rPr>
                <w:rFonts w:ascii="Arial"/>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19</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发挥大学生就业创业指导服务站作用，开展创业培训、创业项目推介等活动，2023年开展“马兰花”创业培训不少于1.5万人。</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省人力资源和社会保障厅负责</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推荐措施：按照省人社厅要求 ，结合我市实际，面向有创业意愿和培训需求的城乡各类劳动者开展创业培训“马兰花计划”，提升劳动者就业创业能力，促进就业倍增效应提供有力支撑。</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市人力资源和社会保障局</w:t>
            </w:r>
          </w:p>
        </w:tc>
        <w:tc>
          <w:tcPr>
            <w:tcW w:w="169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结合我县实际，面向有创业意愿和培训需求的城乡劳动力开展创业培训“马兰花计划”，提升就业创业能力，促进就业倍增效应提供有力支撑。</w:t>
            </w:r>
          </w:p>
        </w:tc>
        <w:tc>
          <w:tcPr>
            <w:tcW w:w="116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组织开展网络创业培训，使学员系统掌握网店开设、网络销售、电商经营等网上创业技巧，切实提升学员网络创业能力，实现培训学员可以自行开设淘宝店铺、从事电商客服、售后、美工、运营等网络销售岗位。</w:t>
            </w:r>
          </w:p>
        </w:tc>
        <w:tc>
          <w:tcPr>
            <w:tcW w:w="126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有序组织开展网络创业培训，使学员系统掌握网上创业技巧。实现培训学员可以自行开设淘宝店铺、从事电商客服、售后、美工、运营等网络销售岗位。</w:t>
            </w:r>
          </w:p>
        </w:tc>
        <w:tc>
          <w:tcPr>
            <w:tcW w:w="117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宣传推进网络创业培训工作，使学员切实提升学员网络创业能力，实现培训学员可以自行开设淘宝店铺、从事电商客服、售后、美工、运营等网络销售岗位。</w:t>
            </w:r>
          </w:p>
        </w:tc>
        <w:tc>
          <w:tcPr>
            <w:tcW w:w="1207"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培训课程结束后，为考核合格学员统一颁发网络创业培训合格证，对符合条件的创业人员，可享受创业贷款等就业创业优惠政策扶持，帮助实现成功创业，带动就业。</w:t>
            </w:r>
          </w:p>
        </w:tc>
        <w:tc>
          <w:tcPr>
            <w:tcW w:w="851"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靖宇县人力资源和社会保障局</w:t>
            </w:r>
          </w:p>
        </w:tc>
        <w:tc>
          <w:tcPr>
            <w:tcW w:w="90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孙立东</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刘晔0439-782551</w:t>
            </w:r>
          </w:p>
        </w:tc>
      </w:tr>
    </w:tbl>
    <w:p>
      <w:pPr>
        <w:sectPr>
          <w:pgSz w:w="16838" w:h="11906" w:orient="landscape"/>
          <w:pgMar w:top="1800" w:right="1440" w:bottom="1800" w:left="1440" w:header="851" w:footer="992" w:gutter="0"/>
          <w:pgNumType w:fmt="decimal"/>
          <w:cols w:space="720" w:num="1"/>
          <w:docGrid w:type="lines" w:linePitch="312" w:charSpace="0"/>
        </w:sectPr>
      </w:pPr>
    </w:p>
    <w:p/>
    <w:tbl>
      <w:tblPr>
        <w:tblStyle w:val="5"/>
        <w:tblW w:w="14850"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580"/>
        <w:gridCol w:w="642"/>
        <w:gridCol w:w="2013"/>
        <w:gridCol w:w="737"/>
        <w:gridCol w:w="1905"/>
        <w:gridCol w:w="953"/>
        <w:gridCol w:w="1236"/>
        <w:gridCol w:w="1293"/>
        <w:gridCol w:w="1108"/>
        <w:gridCol w:w="784"/>
        <w:gridCol w:w="67"/>
        <w:gridCol w:w="904"/>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62" w:type="dxa"/>
            <w:vMerge w:val="restart"/>
            <w:tcBorders>
              <w:bottom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序 号</w:t>
            </w:r>
          </w:p>
        </w:tc>
        <w:tc>
          <w:tcPr>
            <w:tcW w:w="1580" w:type="dxa"/>
            <w:vMerge w:val="restart"/>
            <w:tcBorders>
              <w:bottom w:val="nil"/>
            </w:tcBorders>
            <w:noWrap w:val="0"/>
            <w:vAlign w:val="top"/>
          </w:tcPr>
          <w:p>
            <w:pPr>
              <w:spacing w:before="59" w:line="239" w:lineRule="auto"/>
              <w:ind w:right="3"/>
              <w:jc w:val="center"/>
              <w:rPr>
                <w:rFonts w:hint="eastAsia" w:ascii="宋体" w:hAnsi="宋体" w:eastAsia="宋体" w:cs="宋体"/>
                <w:sz w:val="16"/>
                <w:szCs w:val="16"/>
                <w:lang w:eastAsia="zh-CN"/>
              </w:rPr>
            </w:pPr>
          </w:p>
          <w:p>
            <w:pPr>
              <w:spacing w:before="59" w:line="239" w:lineRule="auto"/>
              <w:ind w:right="3"/>
              <w:jc w:val="center"/>
              <w:rPr>
                <w:rFonts w:hint="eastAsia" w:ascii="宋体" w:hAnsi="宋体" w:eastAsia="宋体" w:cs="宋体"/>
                <w:sz w:val="16"/>
                <w:szCs w:val="16"/>
                <w:lang w:eastAsia="zh-CN"/>
              </w:rPr>
            </w:pPr>
            <w:r>
              <w:rPr>
                <w:rFonts w:hint="eastAsia" w:ascii="宋体" w:hAnsi="宋体" w:eastAsia="宋体" w:cs="宋体"/>
                <w:sz w:val="16"/>
                <w:szCs w:val="16"/>
                <w:lang w:eastAsia="zh-CN"/>
              </w:rPr>
              <w:t>省级任务</w:t>
            </w:r>
          </w:p>
        </w:tc>
        <w:tc>
          <w:tcPr>
            <w:tcW w:w="642" w:type="dxa"/>
            <w:vMerge w:val="restart"/>
            <w:tcBorders>
              <w:bottom w:val="nil"/>
            </w:tcBorders>
            <w:noWrap w:val="0"/>
            <w:vAlign w:val="top"/>
          </w:tcPr>
          <w:p>
            <w:pPr>
              <w:spacing w:before="246" w:line="251" w:lineRule="auto"/>
              <w:ind w:left="71" w:right="65" w:hanging="3"/>
              <w:jc w:val="center"/>
              <w:rPr>
                <w:rFonts w:hint="eastAsia" w:ascii="宋体" w:hAnsi="宋体" w:eastAsia="宋体" w:cs="宋体"/>
                <w:sz w:val="16"/>
                <w:szCs w:val="16"/>
              </w:rPr>
            </w:pPr>
            <w:r>
              <w:rPr>
                <w:rFonts w:hint="eastAsia" w:ascii="宋体" w:hAnsi="宋体" w:eastAsia="宋体" w:cs="宋体"/>
                <w:spacing w:val="-4"/>
                <w:sz w:val="16"/>
                <w:szCs w:val="16"/>
              </w:rPr>
              <w:t>省</w:t>
            </w:r>
            <w:r>
              <w:rPr>
                <w:rFonts w:hint="eastAsia" w:ascii="宋体" w:hAnsi="宋体" w:eastAsia="宋体" w:cs="宋体"/>
                <w:spacing w:val="-3"/>
                <w:sz w:val="16"/>
                <w:szCs w:val="16"/>
              </w:rPr>
              <w:t>级</w:t>
            </w:r>
            <w:r>
              <w:rPr>
                <w:rFonts w:hint="eastAsia" w:ascii="宋体" w:hAnsi="宋体" w:eastAsia="宋体" w:cs="宋体"/>
                <w:spacing w:val="-2"/>
                <w:sz w:val="16"/>
                <w:szCs w:val="16"/>
              </w:rPr>
              <w:t>负</w:t>
            </w:r>
            <w:r>
              <w:rPr>
                <w:rFonts w:hint="eastAsia" w:ascii="宋体" w:hAnsi="宋体" w:eastAsia="宋体" w:cs="宋体"/>
                <w:sz w:val="16"/>
                <w:szCs w:val="16"/>
              </w:rPr>
              <w:t xml:space="preserve"> </w:t>
            </w:r>
            <w:r>
              <w:rPr>
                <w:rFonts w:hint="eastAsia" w:ascii="宋体" w:hAnsi="宋体" w:eastAsia="宋体" w:cs="宋体"/>
                <w:spacing w:val="-4"/>
                <w:sz w:val="16"/>
                <w:szCs w:val="16"/>
              </w:rPr>
              <w:t>责部门</w:t>
            </w:r>
          </w:p>
        </w:tc>
        <w:tc>
          <w:tcPr>
            <w:tcW w:w="2013" w:type="dxa"/>
            <w:vMerge w:val="restart"/>
            <w:tcBorders>
              <w:bottom w:val="nil"/>
            </w:tcBorders>
            <w:noWrap w:val="0"/>
            <w:vAlign w:val="top"/>
          </w:tcPr>
          <w:p>
            <w:pPr>
              <w:spacing w:line="301" w:lineRule="auto"/>
              <w:jc w:val="center"/>
              <w:rPr>
                <w:rFonts w:hint="eastAsia" w:ascii="宋体" w:hAnsi="宋体" w:eastAsia="宋体" w:cs="宋体"/>
                <w:sz w:val="20"/>
                <w:szCs w:val="20"/>
              </w:rPr>
            </w:pPr>
          </w:p>
          <w:p>
            <w:pPr>
              <w:spacing w:before="58" w:line="222" w:lineRule="auto"/>
              <w:jc w:val="center"/>
              <w:rPr>
                <w:rFonts w:hint="eastAsia" w:ascii="宋体" w:hAnsi="宋体" w:eastAsia="宋体" w:cs="宋体"/>
                <w:sz w:val="16"/>
                <w:szCs w:val="16"/>
              </w:rPr>
            </w:pPr>
            <w:r>
              <w:rPr>
                <w:rFonts w:hint="eastAsia" w:ascii="宋体" w:hAnsi="宋体" w:eastAsia="宋体" w:cs="宋体"/>
                <w:spacing w:val="-2"/>
                <w:sz w:val="16"/>
                <w:szCs w:val="16"/>
              </w:rPr>
              <w:t>市级任务</w:t>
            </w:r>
          </w:p>
        </w:tc>
        <w:tc>
          <w:tcPr>
            <w:tcW w:w="737" w:type="dxa"/>
            <w:vMerge w:val="restart"/>
            <w:noWrap w:val="0"/>
            <w:vAlign w:val="top"/>
          </w:tcPr>
          <w:p>
            <w:pPr>
              <w:spacing w:before="246" w:line="251" w:lineRule="auto"/>
              <w:ind w:left="87" w:leftChars="0" w:right="71" w:rightChars="0" w:firstLine="5" w:firstLineChars="0"/>
              <w:jc w:val="center"/>
              <w:rPr>
                <w:rFonts w:hint="eastAsia" w:ascii="宋体" w:hAnsi="宋体" w:eastAsia="宋体" w:cs="宋体"/>
                <w:snapToGrid w:val="0"/>
                <w:color w:val="000000"/>
                <w:spacing w:val="-2"/>
                <w:kern w:val="0"/>
                <w:sz w:val="16"/>
                <w:szCs w:val="16"/>
              </w:rPr>
            </w:pPr>
            <w:r>
              <w:rPr>
                <w:rFonts w:hint="eastAsia" w:ascii="宋体" w:hAnsi="宋体" w:eastAsia="宋体" w:cs="宋体"/>
                <w:spacing w:val="-5"/>
                <w:sz w:val="16"/>
                <w:szCs w:val="16"/>
              </w:rPr>
              <w:t>市</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1905" w:type="dxa"/>
            <w:vMerge w:val="restart"/>
            <w:noWrap w:val="0"/>
            <w:vAlign w:val="top"/>
          </w:tcPr>
          <w:p>
            <w:pPr>
              <w:spacing w:before="58" w:line="239" w:lineRule="auto"/>
              <w:ind w:right="2"/>
              <w:jc w:val="center"/>
              <w:rPr>
                <w:rFonts w:hint="eastAsia" w:ascii="宋体" w:hAnsi="宋体" w:eastAsia="宋体" w:cs="宋体"/>
                <w:sz w:val="16"/>
                <w:szCs w:val="16"/>
                <w:lang w:val="en-US" w:eastAsia="zh-CN"/>
              </w:rPr>
            </w:pPr>
          </w:p>
          <w:p>
            <w:pPr>
              <w:spacing w:before="58" w:line="239" w:lineRule="auto"/>
              <w:ind w:right="2"/>
              <w:jc w:val="center"/>
              <w:rPr>
                <w:rFonts w:hint="eastAsia" w:ascii="宋体" w:hAnsi="宋体" w:eastAsia="宋体" w:cs="宋体"/>
                <w:sz w:val="16"/>
                <w:szCs w:val="16"/>
                <w:lang w:eastAsia="zh-CN"/>
              </w:rPr>
            </w:pPr>
            <w:r>
              <w:rPr>
                <w:rFonts w:hint="eastAsia" w:ascii="宋体" w:hAnsi="宋体" w:eastAsia="宋体" w:cs="宋体"/>
                <w:sz w:val="16"/>
                <w:szCs w:val="16"/>
                <w:lang w:val="en-US" w:eastAsia="zh-CN"/>
              </w:rPr>
              <w:t>县</w:t>
            </w:r>
            <w:r>
              <w:rPr>
                <w:rFonts w:hint="eastAsia" w:ascii="宋体" w:hAnsi="宋体" w:eastAsia="宋体" w:cs="宋体"/>
                <w:sz w:val="16"/>
                <w:szCs w:val="16"/>
              </w:rPr>
              <w:t>级</w:t>
            </w:r>
            <w:r>
              <w:rPr>
                <w:rFonts w:hint="eastAsia" w:ascii="宋体" w:hAnsi="宋体" w:eastAsia="宋体" w:cs="宋体"/>
                <w:sz w:val="16"/>
                <w:szCs w:val="16"/>
                <w:lang w:val="en-US" w:eastAsia="zh-CN"/>
              </w:rPr>
              <w:t>任务</w:t>
            </w:r>
          </w:p>
        </w:tc>
        <w:tc>
          <w:tcPr>
            <w:tcW w:w="4590" w:type="dxa"/>
            <w:gridSpan w:val="4"/>
            <w:noWrap w:val="0"/>
            <w:vAlign w:val="top"/>
          </w:tcPr>
          <w:p>
            <w:pPr>
              <w:spacing w:before="140" w:line="223" w:lineRule="auto"/>
              <w:jc w:val="center"/>
              <w:rPr>
                <w:rFonts w:hint="eastAsia" w:ascii="宋体" w:hAnsi="宋体" w:eastAsia="宋体" w:cs="宋体"/>
                <w:sz w:val="16"/>
                <w:szCs w:val="16"/>
              </w:rPr>
            </w:pPr>
            <w:r>
              <w:rPr>
                <w:rFonts w:hint="eastAsia" w:ascii="宋体" w:hAnsi="宋体" w:eastAsia="宋体" w:cs="宋体"/>
                <w:spacing w:val="-1"/>
                <w:sz w:val="16"/>
                <w:szCs w:val="16"/>
              </w:rPr>
              <w:t>进度</w:t>
            </w:r>
            <w:r>
              <w:rPr>
                <w:rFonts w:hint="eastAsia" w:ascii="宋体" w:hAnsi="宋体" w:eastAsia="宋体" w:cs="宋体"/>
                <w:sz w:val="16"/>
                <w:szCs w:val="16"/>
              </w:rPr>
              <w:t>安排</w:t>
            </w:r>
          </w:p>
        </w:tc>
        <w:tc>
          <w:tcPr>
            <w:tcW w:w="784" w:type="dxa"/>
            <w:vMerge w:val="restart"/>
            <w:tcBorders>
              <w:bottom w:val="nil"/>
            </w:tcBorders>
            <w:noWrap w:val="0"/>
            <w:vAlign w:val="top"/>
          </w:tcPr>
          <w:p>
            <w:pPr>
              <w:spacing w:before="246" w:line="251" w:lineRule="auto"/>
              <w:ind w:left="87" w:right="71" w:firstLine="5"/>
              <w:jc w:val="center"/>
              <w:rPr>
                <w:rFonts w:hint="eastAsia" w:ascii="宋体" w:hAnsi="宋体" w:eastAsia="宋体" w:cs="宋体"/>
                <w:sz w:val="16"/>
                <w:szCs w:val="16"/>
              </w:rPr>
            </w:pPr>
            <w:r>
              <w:rPr>
                <w:rFonts w:hint="eastAsia" w:ascii="宋体" w:hAnsi="宋体" w:eastAsia="宋体" w:cs="宋体"/>
                <w:spacing w:val="-3"/>
                <w:sz w:val="16"/>
                <w:szCs w:val="16"/>
                <w:lang w:val="en-US" w:eastAsia="zh-CN"/>
              </w:rPr>
              <w:t>县</w:t>
            </w:r>
            <w:r>
              <w:rPr>
                <w:rFonts w:hint="eastAsia" w:ascii="宋体" w:hAnsi="宋体" w:eastAsia="宋体" w:cs="宋体"/>
                <w:spacing w:val="-3"/>
                <w:sz w:val="16"/>
                <w:szCs w:val="16"/>
              </w:rPr>
              <w:t>级责</w:t>
            </w:r>
            <w:r>
              <w:rPr>
                <w:rFonts w:hint="eastAsia" w:ascii="宋体" w:hAnsi="宋体" w:eastAsia="宋体" w:cs="宋体"/>
                <w:spacing w:val="-2"/>
                <w:sz w:val="16"/>
                <w:szCs w:val="16"/>
              </w:rPr>
              <w:t>任部</w:t>
            </w:r>
            <w:r>
              <w:rPr>
                <w:rFonts w:hint="eastAsia" w:ascii="宋体" w:hAnsi="宋体" w:eastAsia="宋体" w:cs="宋体"/>
                <w:spacing w:val="-1"/>
                <w:sz w:val="16"/>
                <w:szCs w:val="16"/>
              </w:rPr>
              <w:t>门</w:t>
            </w:r>
          </w:p>
        </w:tc>
        <w:tc>
          <w:tcPr>
            <w:tcW w:w="971" w:type="dxa"/>
            <w:gridSpan w:val="2"/>
            <w:vMerge w:val="restart"/>
            <w:noWrap w:val="0"/>
            <w:vAlign w:val="top"/>
          </w:tcPr>
          <w:p>
            <w:pPr>
              <w:spacing w:before="246" w:line="251" w:lineRule="auto"/>
              <w:ind w:left="87" w:right="71" w:firstLine="5"/>
              <w:jc w:val="center"/>
              <w:rPr>
                <w:rFonts w:hint="eastAsia" w:ascii="宋体" w:hAnsi="宋体" w:eastAsia="宋体" w:cs="宋体"/>
                <w:spacing w:val="-3"/>
                <w:sz w:val="16"/>
                <w:szCs w:val="16"/>
                <w:lang w:val="en-US" w:eastAsia="zh-CN"/>
              </w:rPr>
            </w:pPr>
            <w:r>
              <w:rPr>
                <w:rFonts w:hint="eastAsia" w:ascii="宋体" w:hAnsi="宋体" w:eastAsia="宋体" w:cs="宋体"/>
                <w:spacing w:val="-3"/>
                <w:sz w:val="16"/>
                <w:szCs w:val="16"/>
                <w:lang w:val="en-US" w:eastAsia="zh-CN"/>
              </w:rPr>
              <w:t>责任部门分管领导</w:t>
            </w:r>
          </w:p>
        </w:tc>
        <w:tc>
          <w:tcPr>
            <w:tcW w:w="1166" w:type="dxa"/>
            <w:vMerge w:val="restart"/>
            <w:noWrap w:val="0"/>
            <w:vAlign w:val="top"/>
          </w:tcPr>
          <w:p>
            <w:pPr>
              <w:spacing w:line="267" w:lineRule="auto"/>
              <w:jc w:val="center"/>
              <w:rPr>
                <w:rFonts w:hint="eastAsia" w:ascii="宋体" w:hAnsi="宋体" w:eastAsia="宋体" w:cs="宋体"/>
                <w:sz w:val="16"/>
                <w:szCs w:val="16"/>
              </w:rPr>
            </w:pPr>
          </w:p>
          <w:p>
            <w:pPr>
              <w:spacing w:line="267" w:lineRule="auto"/>
              <w:jc w:val="center"/>
              <w:rPr>
                <w:rFonts w:hint="eastAsia" w:ascii="宋体" w:hAnsi="宋体" w:eastAsia="宋体" w:cs="宋体"/>
                <w:sz w:val="20"/>
                <w:szCs w:val="20"/>
              </w:rPr>
            </w:pPr>
            <w:r>
              <w:rPr>
                <w:rFonts w:hint="eastAsia" w:ascii="宋体" w:hAnsi="宋体" w:eastAsia="宋体" w:cs="宋体"/>
                <w:sz w:val="16"/>
                <w:szCs w:val="16"/>
              </w:rPr>
              <w:t>责任部门科室联系人</w:t>
            </w:r>
            <w:r>
              <w:rPr>
                <w:rFonts w:hint="eastAsia" w:ascii="宋体" w:hAnsi="宋体" w:eastAsia="宋体" w:cs="宋体"/>
                <w:sz w:val="16"/>
                <w:szCs w:val="16"/>
                <w:lang w:val="en-US" w:eastAsia="zh-CN"/>
              </w:rPr>
              <w:t>及联系</w:t>
            </w:r>
            <w:r>
              <w:rPr>
                <w:rFonts w:hint="eastAsia" w:ascii="宋体" w:hAnsi="宋体" w:eastAsia="宋体" w:cs="宋体"/>
                <w:sz w:val="16"/>
                <w:szCs w:val="16"/>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2" w:type="dxa"/>
            <w:vMerge w:val="continue"/>
            <w:tcBorders>
              <w:top w:val="nil"/>
            </w:tcBorders>
            <w:noWrap w:val="0"/>
            <w:textDirection w:val="tbRlV"/>
            <w:vAlign w:val="top"/>
          </w:tcPr>
          <w:p>
            <w:pPr>
              <w:spacing w:before="59" w:line="239" w:lineRule="auto"/>
              <w:ind w:right="3"/>
              <w:jc w:val="center"/>
              <w:rPr>
                <w:rFonts w:hint="eastAsia" w:ascii="宋体" w:hAnsi="宋体" w:eastAsia="宋体" w:cs="宋体"/>
                <w:sz w:val="16"/>
                <w:szCs w:val="16"/>
                <w:lang w:eastAsia="zh-CN"/>
              </w:rPr>
            </w:pPr>
          </w:p>
        </w:tc>
        <w:tc>
          <w:tcPr>
            <w:tcW w:w="1580" w:type="dxa"/>
            <w:vMerge w:val="continue"/>
            <w:tcBorders>
              <w:top w:val="nil"/>
            </w:tcBorders>
            <w:noWrap w:val="0"/>
            <w:vAlign w:val="top"/>
          </w:tcPr>
          <w:p>
            <w:pPr>
              <w:spacing w:before="59" w:line="239" w:lineRule="auto"/>
              <w:ind w:right="3"/>
              <w:jc w:val="center"/>
              <w:rPr>
                <w:rFonts w:hint="eastAsia" w:ascii="宋体" w:hAnsi="宋体" w:eastAsia="宋体" w:cs="宋体"/>
                <w:sz w:val="16"/>
                <w:szCs w:val="16"/>
                <w:lang w:eastAsia="zh-CN"/>
              </w:rPr>
            </w:pPr>
          </w:p>
        </w:tc>
        <w:tc>
          <w:tcPr>
            <w:tcW w:w="642" w:type="dxa"/>
            <w:vMerge w:val="continue"/>
            <w:tcBorders>
              <w:top w:val="nil"/>
            </w:tcBorders>
            <w:noWrap w:val="0"/>
            <w:vAlign w:val="top"/>
          </w:tcPr>
          <w:p>
            <w:pPr>
              <w:jc w:val="center"/>
              <w:rPr>
                <w:rFonts w:ascii="Arial"/>
                <w:sz w:val="20"/>
                <w:szCs w:val="20"/>
              </w:rPr>
            </w:pPr>
          </w:p>
        </w:tc>
        <w:tc>
          <w:tcPr>
            <w:tcW w:w="2013" w:type="dxa"/>
            <w:vMerge w:val="continue"/>
            <w:tcBorders>
              <w:top w:val="nil"/>
            </w:tcBorders>
            <w:noWrap w:val="0"/>
            <w:vAlign w:val="top"/>
          </w:tcPr>
          <w:p>
            <w:pPr>
              <w:jc w:val="center"/>
              <w:rPr>
                <w:rFonts w:ascii="Arial"/>
                <w:sz w:val="20"/>
                <w:szCs w:val="20"/>
              </w:rPr>
            </w:pPr>
          </w:p>
        </w:tc>
        <w:tc>
          <w:tcPr>
            <w:tcW w:w="737" w:type="dxa"/>
            <w:vMerge w:val="continue"/>
            <w:noWrap w:val="0"/>
            <w:vAlign w:val="top"/>
          </w:tcPr>
          <w:p>
            <w:pPr>
              <w:jc w:val="center"/>
              <w:rPr>
                <w:rFonts w:ascii="Arial" w:hAnsi="Arial" w:eastAsia="Arial" w:cs="Arial"/>
                <w:snapToGrid w:val="0"/>
                <w:color w:val="000000"/>
                <w:kern w:val="0"/>
                <w:sz w:val="20"/>
                <w:szCs w:val="20"/>
              </w:rPr>
            </w:pPr>
          </w:p>
        </w:tc>
        <w:tc>
          <w:tcPr>
            <w:tcW w:w="1905" w:type="dxa"/>
            <w:vMerge w:val="continue"/>
            <w:noWrap w:val="0"/>
            <w:vAlign w:val="top"/>
          </w:tcPr>
          <w:p>
            <w:pPr>
              <w:spacing w:before="58" w:line="239" w:lineRule="auto"/>
              <w:ind w:right="2"/>
              <w:jc w:val="center"/>
              <w:rPr>
                <w:rFonts w:ascii="宋体" w:hAnsi="宋体" w:eastAsia="宋体" w:cs="宋体"/>
                <w:sz w:val="16"/>
                <w:szCs w:val="16"/>
              </w:rPr>
            </w:pPr>
          </w:p>
        </w:tc>
        <w:tc>
          <w:tcPr>
            <w:tcW w:w="953" w:type="dxa"/>
            <w:noWrap w:val="0"/>
            <w:vAlign w:val="top"/>
          </w:tcPr>
          <w:p>
            <w:pPr>
              <w:spacing w:before="155" w:line="222" w:lineRule="auto"/>
              <w:jc w:val="center"/>
              <w:rPr>
                <w:rFonts w:hint="eastAsia" w:ascii="宋体" w:hAnsi="宋体" w:eastAsia="宋体" w:cs="宋体"/>
                <w:sz w:val="16"/>
                <w:szCs w:val="16"/>
              </w:rPr>
            </w:pPr>
            <w:r>
              <w:rPr>
                <w:rFonts w:hint="eastAsia" w:ascii="宋体" w:hAnsi="宋体" w:eastAsia="宋体" w:cs="宋体"/>
                <w:spacing w:val="-1"/>
                <w:sz w:val="16"/>
                <w:szCs w:val="16"/>
              </w:rPr>
              <w:t>第一季</w:t>
            </w:r>
            <w:r>
              <w:rPr>
                <w:rFonts w:hint="eastAsia" w:ascii="宋体" w:hAnsi="宋体" w:eastAsia="宋体" w:cs="宋体"/>
                <w:sz w:val="16"/>
                <w:szCs w:val="16"/>
              </w:rPr>
              <w:t>度</w:t>
            </w:r>
          </w:p>
        </w:tc>
        <w:tc>
          <w:tcPr>
            <w:tcW w:w="1236" w:type="dxa"/>
            <w:noWrap w:val="0"/>
            <w:vAlign w:val="top"/>
          </w:tcPr>
          <w:p>
            <w:pPr>
              <w:spacing w:before="155" w:line="222" w:lineRule="auto"/>
              <w:ind w:left="293"/>
              <w:jc w:val="both"/>
              <w:rPr>
                <w:rFonts w:hint="eastAsia" w:ascii="宋体" w:hAnsi="宋体" w:eastAsia="宋体" w:cs="宋体"/>
                <w:sz w:val="16"/>
                <w:szCs w:val="16"/>
              </w:rPr>
            </w:pPr>
            <w:r>
              <w:rPr>
                <w:rFonts w:hint="eastAsia" w:ascii="宋体" w:hAnsi="宋体" w:eastAsia="宋体" w:cs="宋体"/>
                <w:spacing w:val="-1"/>
                <w:sz w:val="16"/>
                <w:szCs w:val="16"/>
              </w:rPr>
              <w:t>第二季</w:t>
            </w:r>
            <w:r>
              <w:rPr>
                <w:rFonts w:hint="eastAsia" w:ascii="宋体" w:hAnsi="宋体" w:eastAsia="宋体" w:cs="宋体"/>
                <w:sz w:val="16"/>
                <w:szCs w:val="16"/>
              </w:rPr>
              <w:t>度</w:t>
            </w:r>
          </w:p>
        </w:tc>
        <w:tc>
          <w:tcPr>
            <w:tcW w:w="1293" w:type="dxa"/>
            <w:noWrap w:val="0"/>
            <w:vAlign w:val="top"/>
          </w:tcPr>
          <w:p>
            <w:pPr>
              <w:spacing w:before="155" w:line="222" w:lineRule="auto"/>
              <w:ind w:left="212"/>
              <w:jc w:val="both"/>
              <w:rPr>
                <w:rFonts w:hint="eastAsia" w:ascii="宋体" w:hAnsi="宋体" w:eastAsia="宋体" w:cs="宋体"/>
                <w:sz w:val="16"/>
                <w:szCs w:val="16"/>
              </w:rPr>
            </w:pPr>
            <w:r>
              <w:rPr>
                <w:rFonts w:hint="eastAsia" w:ascii="宋体" w:hAnsi="宋体" w:eastAsia="宋体" w:cs="宋体"/>
                <w:spacing w:val="-1"/>
                <w:sz w:val="16"/>
                <w:szCs w:val="16"/>
              </w:rPr>
              <w:t>第三季</w:t>
            </w:r>
            <w:r>
              <w:rPr>
                <w:rFonts w:hint="eastAsia" w:ascii="宋体" w:hAnsi="宋体" w:eastAsia="宋体" w:cs="宋体"/>
                <w:sz w:val="16"/>
                <w:szCs w:val="16"/>
              </w:rPr>
              <w:t>度</w:t>
            </w:r>
          </w:p>
        </w:tc>
        <w:tc>
          <w:tcPr>
            <w:tcW w:w="1108" w:type="dxa"/>
            <w:noWrap w:val="0"/>
            <w:vAlign w:val="top"/>
          </w:tcPr>
          <w:p>
            <w:pPr>
              <w:spacing w:before="155" w:line="222" w:lineRule="auto"/>
              <w:ind w:left="256"/>
              <w:jc w:val="both"/>
              <w:rPr>
                <w:rFonts w:hint="eastAsia" w:ascii="宋体" w:hAnsi="宋体" w:eastAsia="宋体" w:cs="宋体"/>
                <w:sz w:val="16"/>
                <w:szCs w:val="16"/>
              </w:rPr>
            </w:pPr>
            <w:r>
              <w:rPr>
                <w:rFonts w:hint="eastAsia" w:ascii="宋体" w:hAnsi="宋体" w:eastAsia="宋体" w:cs="宋体"/>
                <w:spacing w:val="-1"/>
                <w:sz w:val="16"/>
                <w:szCs w:val="16"/>
              </w:rPr>
              <w:t>第四季</w:t>
            </w:r>
            <w:r>
              <w:rPr>
                <w:rFonts w:hint="eastAsia" w:ascii="宋体" w:hAnsi="宋体" w:eastAsia="宋体" w:cs="宋体"/>
                <w:sz w:val="16"/>
                <w:szCs w:val="16"/>
              </w:rPr>
              <w:t>度</w:t>
            </w:r>
          </w:p>
        </w:tc>
        <w:tc>
          <w:tcPr>
            <w:tcW w:w="784" w:type="dxa"/>
            <w:vMerge w:val="continue"/>
            <w:tcBorders>
              <w:top w:val="nil"/>
            </w:tcBorders>
            <w:noWrap w:val="0"/>
            <w:vAlign w:val="top"/>
          </w:tcPr>
          <w:p>
            <w:pPr>
              <w:jc w:val="center"/>
              <w:rPr>
                <w:rFonts w:ascii="Arial"/>
                <w:sz w:val="20"/>
                <w:szCs w:val="20"/>
              </w:rPr>
            </w:pPr>
          </w:p>
        </w:tc>
        <w:tc>
          <w:tcPr>
            <w:tcW w:w="971" w:type="dxa"/>
            <w:gridSpan w:val="2"/>
            <w:vMerge w:val="continue"/>
            <w:noWrap w:val="0"/>
            <w:vAlign w:val="top"/>
          </w:tcPr>
          <w:p>
            <w:pPr>
              <w:jc w:val="center"/>
              <w:rPr>
                <w:rFonts w:ascii="Arial"/>
                <w:sz w:val="20"/>
                <w:szCs w:val="20"/>
              </w:rPr>
            </w:pPr>
          </w:p>
        </w:tc>
        <w:tc>
          <w:tcPr>
            <w:tcW w:w="1166" w:type="dxa"/>
            <w:vMerge w:val="continue"/>
            <w:noWrap w:val="0"/>
            <w:vAlign w:val="top"/>
          </w:tcPr>
          <w:p>
            <w:pPr>
              <w:spacing w:line="267" w:lineRule="auto"/>
              <w:jc w:val="center"/>
              <w:rPr>
                <w:rFonts w:ascii="Arial"/>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组织实施“民营企业招聘月活动”，开展小规模、定制式招聘活动不少于 200 场，举办“专精特新”专场招聘会不少于50场。</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省人力资源和社会保障厅负责</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依托96885吉人在线平台，组织实施民营企业招聘月活动，举办各类线上线下专场招聘会，搭建人企对接平台。</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市人力资源和社会保障局</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依照下发指标，全年至少召开13场招聘会</w:t>
            </w:r>
          </w:p>
        </w:tc>
        <w:tc>
          <w:tcPr>
            <w:tcW w:w="95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按省、市下发活动要求召开招聘会</w:t>
            </w:r>
          </w:p>
        </w:tc>
        <w:tc>
          <w:tcPr>
            <w:tcW w:w="1236"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按省、市下发活动要求召开招聘会。</w:t>
            </w:r>
          </w:p>
        </w:tc>
        <w:tc>
          <w:tcPr>
            <w:tcW w:w="129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按省、市下发活动要求召开招聘会。</w:t>
            </w:r>
          </w:p>
        </w:tc>
        <w:tc>
          <w:tcPr>
            <w:tcW w:w="110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按省、市下发活动要求召开招聘会。</w:t>
            </w:r>
          </w:p>
        </w:tc>
        <w:tc>
          <w:tcPr>
            <w:tcW w:w="851" w:type="dxa"/>
            <w:gridSpan w:val="2"/>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就业局</w:t>
            </w:r>
          </w:p>
        </w:tc>
        <w:tc>
          <w:tcPr>
            <w:tcW w:w="90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张广学</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张旭0439-7223551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46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1580"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保护劳动者在劳务派遣、人力资源外包、网络招聘等新业态用工中的合法权益。严厉打击以招聘为名牟取不正当利益，泄露用人单位商业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秘密和求职者个人信息等行为。</w:t>
            </w:r>
          </w:p>
        </w:tc>
        <w:tc>
          <w:tcPr>
            <w:tcW w:w="64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省人力资源和社会保障厅负责</w:t>
            </w:r>
          </w:p>
        </w:tc>
        <w:tc>
          <w:tcPr>
            <w:tcW w:w="201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通过开展清理整顿人力资源市场秩序专项行动全方位、全领域、全时段地强化劳动保障法律法规宣传，严格审查申请从事职业介绍活动的具体准入条件和开办资格，建立健全职业介绍机构遵纪守法诚信档案，加强日常监督，加大违法违规行为打击力度。</w:t>
            </w:r>
          </w:p>
        </w:tc>
        <w:tc>
          <w:tcPr>
            <w:tcW w:w="737"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市人力资源和社会保障局</w:t>
            </w:r>
          </w:p>
        </w:tc>
        <w:tc>
          <w:tcPr>
            <w:tcW w:w="1905"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维护劳动者合法权益，严厉打击以招聘为名牟取不正当利益，泄露用人单位商业秘密和求职者个人信息等行为。</w:t>
            </w:r>
          </w:p>
        </w:tc>
        <w:tc>
          <w:tcPr>
            <w:tcW w:w="95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按省、市下发文件要求开展清理整顿人力资源市场秩序专项行动。</w:t>
            </w:r>
          </w:p>
        </w:tc>
        <w:tc>
          <w:tcPr>
            <w:tcW w:w="1236"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按省、市下发文件要求开展清理整顿人力资源市场秩序专项行动。</w:t>
            </w:r>
          </w:p>
        </w:tc>
        <w:tc>
          <w:tcPr>
            <w:tcW w:w="1293"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按省、市下发文件要求开展清理整顿人力资源市场秩序专项行动。</w:t>
            </w:r>
          </w:p>
        </w:tc>
        <w:tc>
          <w:tcPr>
            <w:tcW w:w="1108" w:type="dxa"/>
            <w:tcBorders>
              <w:top w:val="single" w:color="auto" w:sz="4" w:space="0"/>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按省、市下发文件要求开展清理整顿人力资源市场秩序专项行动。</w:t>
            </w:r>
          </w:p>
        </w:tc>
        <w:tc>
          <w:tcPr>
            <w:tcW w:w="851" w:type="dxa"/>
            <w:gridSpan w:val="2"/>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靖宇县人力资源和社会保障局</w:t>
            </w:r>
          </w:p>
        </w:tc>
        <w:tc>
          <w:tcPr>
            <w:tcW w:w="90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付刚</w:t>
            </w:r>
          </w:p>
        </w:tc>
        <w:tc>
          <w:tcPr>
            <w:tcW w:w="116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杨春刚0439-7239960</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GRiMmU5MjE3MTIzOTQxNmI4ZGFkODVlNWRmN2YifQ=="/>
  </w:docVars>
  <w:rsids>
    <w:rsidRoot w:val="019018C7"/>
    <w:rsid w:val="0190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table" w:customStyle="1" w:styleId="5">
    <w:name w:val="Table Normal"/>
    <w:unhideWhenUsed/>
    <w:qFormat/>
    <w:uiPriority w:val="0"/>
    <w:tblPr>
      <w:tblCellMar>
        <w:top w:w="0" w:type="dxa"/>
        <w:left w:w="0" w:type="dxa"/>
        <w:bottom w:w="0" w:type="dxa"/>
        <w:right w:w="0" w:type="dxa"/>
      </w:tblCellMar>
    </w:tblPr>
  </w:style>
  <w:style w:type="character" w:customStyle="1" w:styleId="6">
    <w:name w:val="font81"/>
    <w:basedOn w:val="4"/>
    <w:qFormat/>
    <w:uiPriority w:val="0"/>
    <w:rPr>
      <w:rFonts w:hint="eastAsia" w:ascii="宋体" w:hAnsi="宋体" w:eastAsia="宋体" w:cs="宋体"/>
      <w:color w:val="000000"/>
      <w:sz w:val="18"/>
      <w:szCs w:val="18"/>
      <w:u w:val="none"/>
    </w:rPr>
  </w:style>
  <w:style w:type="character" w:customStyle="1" w:styleId="7">
    <w:name w:val="font41"/>
    <w:basedOn w:val="4"/>
    <w:qFormat/>
    <w:uiPriority w:val="0"/>
    <w:rPr>
      <w:rFonts w:hint="eastAsia" w:ascii="宋体" w:hAnsi="宋体" w:eastAsia="宋体" w:cs="宋体"/>
      <w:color w:val="000000"/>
      <w:sz w:val="18"/>
      <w:szCs w:val="18"/>
      <w:u w:val="none"/>
    </w:rPr>
  </w:style>
  <w:style w:type="character" w:customStyle="1" w:styleId="8">
    <w:name w:val="font2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2023-06-26T08:04:00Z</dcterms:created>
  <dc:creator>TY</dc:creator>
  <cp:lastModifiedBy>TY</cp:lastModifiedBy>
  <dcterms:modified xsi:type="dcterms:W3CDTF">2023-06-26T08:04:50Z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1FC25829FB454A70A24553EA397EA849_11</vt:lpwstr>
  </property>
</Properties>
</file>