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6"/>
          <w:szCs w:val="36"/>
        </w:rPr>
      </w:pPr>
      <w:r>
        <w:rPr>
          <w:rFonts w:hint="eastAsia" w:ascii="宋体" w:hAnsi="宋体" w:cs="宋体"/>
          <w:bCs/>
          <w:sz w:val="32"/>
          <w:szCs w:val="32"/>
        </w:rPr>
        <w:t>附件2: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靖宇县政府采购限额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标准和公开招标数额标准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一、政府采购限额标准</w:t>
      </w:r>
    </w:p>
    <w:p>
      <w:pPr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采购货物、服务类项目，单项或批量采购预算金额达到50万元（含50万元）；工程类项目采购预算金额达到100万元（含100万元）。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二、政府采购公开招标数额标准</w:t>
      </w:r>
    </w:p>
    <w:p>
      <w:pPr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采购货物、服务类项目，单项或批量采购预算金额达到200万元（含200万元）；工程类项目采购预算金额达到400万元（含400万元）。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F6CCA"/>
    <w:rsid w:val="47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2020-12-04T02:02:00Z</dcterms:created>
  <dc:creator>f1234yz</dc:creator>
  <cp:lastModifiedBy>f1234yz</cp:lastModifiedBy>
  <dcterms:modified xsi:type="dcterms:W3CDTF">2020-12-04T02:03:55Z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