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53BA1">
      <w:pPr>
        <w:rPr>
          <w:rFonts w:hint="default"/>
          <w:lang w:val="en-US" w:eastAsia="zh-CN"/>
        </w:rPr>
      </w:pPr>
    </w:p>
    <w:p w14:paraId="13EF5CA6">
      <w:pPr>
        <w:rPr>
          <w:rFonts w:hint="default"/>
          <w:lang w:val="en-US" w:eastAsia="zh-CN"/>
        </w:rPr>
      </w:pPr>
    </w:p>
    <w:p w14:paraId="456E4A33">
      <w:pPr>
        <w:keepNext w:val="0"/>
        <w:keepLines w:val="0"/>
        <w:widowControl/>
        <w:suppressLineNumbers w:val="0"/>
        <w:spacing w:before="0" w:beforeAutospacing="0" w:after="0" w:afterAutospacing="0"/>
        <w:ind w:left="0" w:right="0"/>
        <w:jc w:val="center"/>
      </w:pPr>
      <w:bookmarkStart w:id="0" w:name="_GoBack"/>
      <w:r>
        <w:rPr>
          <w:rFonts w:hint="eastAsia" w:ascii="宋体" w:hAnsi="宋体" w:eastAsia="宋体" w:cs="宋体"/>
          <w:b/>
          <w:bCs/>
          <w:kern w:val="2"/>
          <w:sz w:val="36"/>
          <w:szCs w:val="36"/>
          <w:lang w:val="en-US" w:eastAsia="zh-CN" w:bidi="ar"/>
        </w:rPr>
        <w:t>濛江乡2025年度</w:t>
      </w:r>
    </w:p>
    <w:p w14:paraId="7B2EB665">
      <w:pPr>
        <w:keepNext w:val="0"/>
        <w:keepLines w:val="0"/>
        <w:widowControl/>
        <w:suppressLineNumbers w:val="0"/>
        <w:spacing w:before="0" w:beforeAutospacing="0" w:after="0" w:afterAutospacing="0"/>
        <w:ind w:left="0" w:right="0"/>
        <w:jc w:val="center"/>
      </w:pPr>
      <w:r>
        <w:rPr>
          <w:rFonts w:hint="eastAsia" w:ascii="宋体" w:hAnsi="宋体" w:eastAsia="宋体" w:cs="宋体"/>
          <w:b/>
          <w:bCs/>
          <w:kern w:val="2"/>
          <w:sz w:val="36"/>
          <w:szCs w:val="36"/>
          <w:lang w:val="en-US" w:eastAsia="zh-CN" w:bidi="ar"/>
        </w:rPr>
        <w:t>政府信息公开工作年度报告</w:t>
      </w:r>
    </w:p>
    <w:bookmarkEnd w:id="0"/>
    <w:p w14:paraId="68E9901E">
      <w:pPr>
        <w:keepNext w:val="0"/>
        <w:keepLines w:val="0"/>
        <w:widowControl w:val="0"/>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根据《中华人民共和国政府信息公开条例》规定，现公布吉林省白山市靖宇县濛江乡2025年度政府信息公开工作年度报告。本报告由“总体情况”、“主动公开政府信息情况”、“受到和处理政府信息公开申请情况”、“因政府信息公开工作被申请行政复议、提起行政诉讼情况”、“政府信息公开工作存在的主要问题及改进情况”、“其他需要报告的事项”六个部分组成。所列数据截止日期为2025年12月30日，电子文本可在吉林省靖宇县人民政府门户网站政府信息公开专栏查询。吉林省靖宇县濛江乡人民政府联系方式，电话：0439-7915077，邮编135200。地址：吉林省白山市靖宇县将军路1号。</w:t>
      </w:r>
    </w:p>
    <w:p w14:paraId="131A0737">
      <w:pPr>
        <w:keepNext w:val="0"/>
        <w:keepLines w:val="0"/>
        <w:widowControl w:val="0"/>
        <w:suppressLineNumbers w:val="0"/>
        <w:autoSpaceDE w:val="0"/>
        <w:autoSpaceDN/>
        <w:spacing w:before="0" w:beforeAutospacing="0" w:after="0" w:afterAutospacing="0"/>
        <w:ind w:left="0" w:right="0" w:firstLine="482" w:firstLineChars="200"/>
        <w:jc w:val="left"/>
      </w:pPr>
      <w:r>
        <w:rPr>
          <w:rFonts w:hint="eastAsia" w:ascii="宋体" w:hAnsi="宋体" w:eastAsia="宋体" w:cs="宋体"/>
          <w:b/>
          <w:bCs/>
          <w:kern w:val="2"/>
          <w:sz w:val="24"/>
          <w:szCs w:val="24"/>
          <w:lang w:val="en-US" w:eastAsia="zh-CN" w:bidi="ar"/>
        </w:rPr>
        <w:t>一、总体情况</w:t>
      </w:r>
    </w:p>
    <w:p w14:paraId="53C59C75">
      <w:pPr>
        <w:keepNext w:val="0"/>
        <w:keepLines w:val="0"/>
        <w:widowControl w:val="0"/>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2025年濛江乡按照“公开为常态、不公开为例外”的原则认真做好政务公开工作，不断促进全乡政务公开工作向科学化、专业化、制度化、规范化发展，确保了及时准确上传政策文件、工作进展，及时回应群众关注的热点问题，主动引导、积极宣传，保障了群众知情权、参与权和监督权。</w:t>
      </w:r>
    </w:p>
    <w:p w14:paraId="0F2BBBC8">
      <w:pPr>
        <w:keepNext w:val="0"/>
        <w:keepLines w:val="0"/>
        <w:widowControl w:val="0"/>
        <w:numPr>
          <w:numId w:val="0"/>
        </w:numPr>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一）组织推动全乡政府信息公开工作。一是建立组织机制，加强协调领导。成立了政府乡长为组长、各站所负责人为成员的政务公开工作领导小组，确定1名工作人员负责日常具体工作；完善了政务公开信息审查、报送、发布机制，强化公开工作的规范化管理。全乡形成“一级抓一级、层层抓落实”的工作管理格局。二是建立运行机制，推进良性运转。分别建立主动公开和依申请公开工作机制。主动公开工作机制明确规定了主动公开的政府信息内容，同时建立信息采编管理规范和动态更新维护机制，保证公开信息的质量和更新速度。依申请公开工作机制既建立了受理机制，还明确了具体操作规范、受理时限和答复要求，更加突出了便民、利民的原则。三是建立工作机制，强化常态管理。普遍制定并严格执行制度，推动政府信息公开工作依法、有序开展。</w:t>
      </w:r>
    </w:p>
    <w:p w14:paraId="7360EFB0">
      <w:pPr>
        <w:keepNext w:val="0"/>
        <w:keepLines w:val="0"/>
        <w:widowControl w:val="0"/>
        <w:numPr>
          <w:numId w:val="0"/>
        </w:numPr>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（二）积极推动政府信息主动公开。濛江乡2025年主动</w:t>
      </w:r>
      <w:r>
        <w:rPr>
          <w:rFonts w:hint="eastAsia" w:ascii="宋体" w:hAnsi="宋体" w:eastAsia="宋体" w:cs="宋体"/>
          <w:kern w:val="2"/>
          <w:sz w:val="24"/>
          <w:szCs w:val="24"/>
          <w:highlight w:val="none"/>
          <w:lang w:val="en-US" w:eastAsia="zh-CN" w:bidi="ar"/>
        </w:rPr>
        <w:t>公开政府信息13</w:t>
      </w:r>
      <w:r>
        <w:rPr>
          <w:rFonts w:hint="eastAsia" w:ascii="宋体" w:hAnsi="宋体" w:eastAsia="宋体" w:cs="宋体"/>
          <w:kern w:val="2"/>
          <w:sz w:val="24"/>
          <w:szCs w:val="24"/>
          <w:lang w:val="en-US" w:eastAsia="zh-CN" w:bidi="ar"/>
        </w:rPr>
        <w:t>条，无因政府信息公开申请行政复议、提起行政诉讼情况。</w:t>
      </w:r>
    </w:p>
    <w:p w14:paraId="51272868">
      <w:pPr>
        <w:keepNext w:val="0"/>
        <w:keepLines w:val="0"/>
        <w:widowControl w:val="0"/>
        <w:numPr>
          <w:numId w:val="0"/>
        </w:numPr>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（三）认真规范处理依申请公开。2025年以来，濛江乡未收到依申请公开事项。</w:t>
      </w:r>
    </w:p>
    <w:p w14:paraId="7E1285FD">
      <w:pPr>
        <w:keepNext w:val="0"/>
        <w:keepLines w:val="0"/>
        <w:widowControl w:val="0"/>
        <w:numPr>
          <w:numId w:val="0"/>
        </w:numPr>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四）不断强化政府信息公开平台内容保障。2025年在进一步坚持和完善通用载体的基础上，进一步提高政府信息公开质量，积极推进一般事项公开向重点事项公开、结果公开向全过程公开的工作转变，公开的内容更加充实，公开的时间更加及时，公开重点更加突出。进一步完善政府信息公开制度和相关措施，严格按照《中华人民共和国政府信息公开条例》办事，进一步增强依法公开，主动公开意识，搞好政府信息公开评议，提高政府信息公开水平；加强督促检查，规范管理政府信息公开资料，进一步完善细化政府信息公开目录和内容，增强政府信息公开工作的针对性，做到以公开促廉政，以公开树形象，推动全乡各项中心工作任务的圆满完成。</w:t>
      </w:r>
    </w:p>
    <w:p w14:paraId="4BBD94D9">
      <w:pPr>
        <w:keepNext w:val="0"/>
        <w:keepLines w:val="0"/>
        <w:widowControl w:val="0"/>
        <w:numPr>
          <w:numId w:val="0"/>
        </w:numPr>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五）全力做好宣传培训评估考核等基本工作。濛江乡全体机关干部结合各自实际，认真做好《条例》的学习工作，乡班子成员充分发挥示引领作用，带头学习，率先垂范，全面领会《条例》的基本精神和主要内容，切实增强公开意识。灵活采取科室学习、个人自学、重点解读、逐条学习等方式，抓好学习落实。在全乡上下营造学习全员化、宣传全渠道的浓厚氛围。通过举办培训班或交流研讨会等形式，对从事政务公开工作人员开展培训和积极参加县里开展的各种学习培训，支持政务公开人员接受与工作有关的法律、新闻、信息化、网络等方面的继续教育。统筹协调，紧密联系实际，全面提升政务公开和政务服务水平。通过政务大厅窗口摆放宣传材料等多种方式开展宣传。</w:t>
      </w:r>
    </w:p>
    <w:p w14:paraId="2A259D53">
      <w:pPr>
        <w:keepNext w:val="0"/>
        <w:keepLines w:val="0"/>
        <w:widowControl/>
        <w:suppressLineNumbers w:val="0"/>
        <w:spacing w:before="0" w:beforeAutospacing="0" w:after="0" w:afterAutospacing="0"/>
        <w:ind w:left="0" w:right="0" w:firstLine="482" w:firstLineChars="200"/>
        <w:jc w:val="left"/>
      </w:pPr>
      <w:r>
        <w:rPr>
          <w:rFonts w:hint="eastAsia" w:ascii="宋体" w:hAnsi="宋体" w:eastAsia="宋体" w:cs="宋体"/>
          <w:b/>
          <w:bCs/>
          <w:kern w:val="2"/>
          <w:sz w:val="24"/>
          <w:szCs w:val="24"/>
          <w:lang w:val="en-US" w:eastAsia="zh-CN" w:bidi="ar"/>
        </w:rPr>
        <w:t>二、主动公开政府信息情况</w:t>
      </w:r>
    </w:p>
    <w:tbl>
      <w:tblPr>
        <w:tblW w:w="90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461"/>
        <w:gridCol w:w="2184"/>
        <w:gridCol w:w="2184"/>
        <w:gridCol w:w="2185"/>
      </w:tblGrid>
      <w:tr w14:paraId="60C7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14:paraId="22878FEB">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第二十条第（一）项</w:t>
            </w:r>
          </w:p>
        </w:tc>
      </w:tr>
      <w:tr w14:paraId="1D7F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14:paraId="2C8D2A5C">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信息内容</w:t>
            </w:r>
          </w:p>
        </w:tc>
        <w:tc>
          <w:tcPr>
            <w:tcW w:w="2184"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14:paraId="3F2153F9">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本年制发件数</w:t>
            </w:r>
          </w:p>
        </w:tc>
        <w:tc>
          <w:tcPr>
            <w:tcW w:w="218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B6FC534">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本年废止件数</w:t>
            </w:r>
          </w:p>
        </w:tc>
        <w:tc>
          <w:tcPr>
            <w:tcW w:w="2185" w:type="dxa"/>
            <w:tcBorders>
              <w:top w:val="nil"/>
              <w:left w:val="nil"/>
              <w:bottom w:val="single" w:color="auto" w:sz="8" w:space="0"/>
              <w:right w:val="single" w:color="auto" w:sz="8" w:space="0"/>
            </w:tcBorders>
            <w:shd w:val="clear"/>
            <w:noWrap/>
            <w:tcMar>
              <w:left w:w="108" w:type="dxa"/>
              <w:right w:w="108" w:type="dxa"/>
            </w:tcMar>
            <w:vAlign w:val="center"/>
          </w:tcPr>
          <w:p w14:paraId="553D9607">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现行有效件数</w:t>
            </w:r>
          </w:p>
        </w:tc>
      </w:tr>
      <w:tr w14:paraId="508D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14:paraId="152EA33C">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规章</w:t>
            </w:r>
          </w:p>
        </w:tc>
        <w:tc>
          <w:tcPr>
            <w:tcW w:w="2184" w:type="dxa"/>
            <w:tcBorders>
              <w:top w:val="nil"/>
              <w:left w:val="nil"/>
              <w:bottom w:val="single" w:color="auto" w:sz="8" w:space="0"/>
              <w:right w:val="single" w:color="auto" w:sz="8" w:space="0"/>
            </w:tcBorders>
            <w:shd w:val="clear"/>
            <w:noWrap/>
            <w:tcMar>
              <w:left w:w="108" w:type="dxa"/>
              <w:right w:w="108" w:type="dxa"/>
            </w:tcMar>
            <w:vAlign w:val="center"/>
          </w:tcPr>
          <w:p w14:paraId="416A989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2184" w:type="dxa"/>
            <w:tcBorders>
              <w:top w:val="nil"/>
              <w:left w:val="nil"/>
              <w:bottom w:val="single" w:color="auto" w:sz="8" w:space="0"/>
              <w:right w:val="single" w:color="auto" w:sz="8" w:space="0"/>
            </w:tcBorders>
            <w:shd w:val="clear"/>
            <w:tcMar>
              <w:left w:w="108" w:type="dxa"/>
              <w:right w:w="108" w:type="dxa"/>
            </w:tcMar>
            <w:vAlign w:val="center"/>
          </w:tcPr>
          <w:p w14:paraId="4C36AAF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2185" w:type="dxa"/>
            <w:tcBorders>
              <w:top w:val="nil"/>
              <w:left w:val="nil"/>
              <w:bottom w:val="single" w:color="auto" w:sz="8" w:space="0"/>
              <w:right w:val="single" w:color="auto" w:sz="8" w:space="0"/>
            </w:tcBorders>
            <w:shd w:val="clear"/>
            <w:noWrap/>
            <w:tcMar>
              <w:left w:w="108" w:type="dxa"/>
              <w:right w:w="108" w:type="dxa"/>
            </w:tcMar>
            <w:vAlign w:val="center"/>
          </w:tcPr>
          <w:p w14:paraId="4229413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72FC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14:paraId="6B3A8EA1">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行政规范性文件</w:t>
            </w:r>
          </w:p>
        </w:tc>
        <w:tc>
          <w:tcPr>
            <w:tcW w:w="2184" w:type="dxa"/>
            <w:tcBorders>
              <w:top w:val="nil"/>
              <w:left w:val="nil"/>
              <w:bottom w:val="single" w:color="auto" w:sz="8" w:space="0"/>
              <w:right w:val="single" w:color="auto" w:sz="8" w:space="0"/>
            </w:tcBorders>
            <w:shd w:val="clear"/>
            <w:noWrap/>
            <w:tcMar>
              <w:left w:w="108" w:type="dxa"/>
              <w:right w:w="108" w:type="dxa"/>
            </w:tcMar>
            <w:vAlign w:val="center"/>
          </w:tcPr>
          <w:p w14:paraId="09E0662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2184" w:type="dxa"/>
            <w:tcBorders>
              <w:top w:val="nil"/>
              <w:left w:val="nil"/>
              <w:bottom w:val="single" w:color="auto" w:sz="8" w:space="0"/>
              <w:right w:val="single" w:color="auto" w:sz="8" w:space="0"/>
            </w:tcBorders>
            <w:shd w:val="clear"/>
            <w:tcMar>
              <w:left w:w="108" w:type="dxa"/>
              <w:right w:w="108" w:type="dxa"/>
            </w:tcMar>
            <w:vAlign w:val="center"/>
          </w:tcPr>
          <w:p w14:paraId="7D63177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2185" w:type="dxa"/>
            <w:tcBorders>
              <w:top w:val="nil"/>
              <w:left w:val="nil"/>
              <w:bottom w:val="single" w:color="auto" w:sz="8" w:space="0"/>
              <w:right w:val="single" w:color="auto" w:sz="8" w:space="0"/>
            </w:tcBorders>
            <w:shd w:val="clear"/>
            <w:noWrap/>
            <w:tcMar>
              <w:left w:w="108" w:type="dxa"/>
              <w:right w:w="108" w:type="dxa"/>
            </w:tcMar>
            <w:vAlign w:val="center"/>
          </w:tcPr>
          <w:p w14:paraId="75D81B1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546D7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0C656713">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第二十条第（五）项</w:t>
            </w:r>
          </w:p>
        </w:tc>
      </w:tr>
      <w:tr w14:paraId="5B41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14:paraId="2A390CCE">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信息内容</w:t>
            </w:r>
          </w:p>
        </w:tc>
        <w:tc>
          <w:tcPr>
            <w:tcW w:w="6553" w:type="dxa"/>
            <w:gridSpan w:val="3"/>
            <w:tcBorders>
              <w:top w:val="single" w:color="auto" w:sz="8" w:space="0"/>
              <w:left w:val="nil"/>
              <w:bottom w:val="single" w:color="auto" w:sz="8" w:space="0"/>
              <w:right w:val="single" w:color="auto" w:sz="8" w:space="0"/>
            </w:tcBorders>
            <w:shd w:val="clear"/>
            <w:noWrap/>
            <w:tcMar>
              <w:left w:w="108" w:type="dxa"/>
              <w:right w:w="108" w:type="dxa"/>
            </w:tcMar>
            <w:vAlign w:val="center"/>
          </w:tcPr>
          <w:p w14:paraId="69E87F3B">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本年处理决定数量</w:t>
            </w:r>
          </w:p>
        </w:tc>
      </w:tr>
      <w:tr w14:paraId="6E45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14:paraId="0492AB52">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行政许可</w:t>
            </w:r>
          </w:p>
        </w:tc>
        <w:tc>
          <w:tcPr>
            <w:tcW w:w="6553" w:type="dxa"/>
            <w:gridSpan w:val="3"/>
            <w:tcBorders>
              <w:top w:val="nil"/>
              <w:left w:val="nil"/>
              <w:bottom w:val="single" w:color="auto" w:sz="8" w:space="0"/>
              <w:right w:val="single" w:color="auto" w:sz="8" w:space="0"/>
            </w:tcBorders>
            <w:shd w:val="clear"/>
            <w:noWrap/>
            <w:tcMar>
              <w:left w:w="108" w:type="dxa"/>
              <w:right w:w="108" w:type="dxa"/>
            </w:tcMar>
            <w:vAlign w:val="center"/>
          </w:tcPr>
          <w:p w14:paraId="24060FB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52D0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30539DC3">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第二十条第（六）项</w:t>
            </w:r>
          </w:p>
        </w:tc>
      </w:tr>
      <w:tr w14:paraId="7628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14:paraId="64F10094">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信息内容</w:t>
            </w:r>
          </w:p>
        </w:tc>
        <w:tc>
          <w:tcPr>
            <w:tcW w:w="6553" w:type="dxa"/>
            <w:gridSpan w:val="3"/>
            <w:tcBorders>
              <w:top w:val="single" w:color="auto" w:sz="8" w:space="0"/>
              <w:left w:val="nil"/>
              <w:bottom w:val="single" w:color="auto" w:sz="8" w:space="0"/>
              <w:right w:val="single" w:color="auto" w:sz="8" w:space="0"/>
            </w:tcBorders>
            <w:shd w:val="clear"/>
            <w:noWrap/>
            <w:tcMar>
              <w:left w:w="108" w:type="dxa"/>
              <w:right w:w="108" w:type="dxa"/>
            </w:tcMar>
            <w:vAlign w:val="center"/>
          </w:tcPr>
          <w:p w14:paraId="5229F364">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本年处理决定数量</w:t>
            </w:r>
          </w:p>
        </w:tc>
      </w:tr>
      <w:tr w14:paraId="5882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14:paraId="5769FA76">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行政处罚</w:t>
            </w:r>
          </w:p>
        </w:tc>
        <w:tc>
          <w:tcPr>
            <w:tcW w:w="6553" w:type="dxa"/>
            <w:gridSpan w:val="3"/>
            <w:tcBorders>
              <w:top w:val="nil"/>
              <w:left w:val="nil"/>
              <w:bottom w:val="single" w:color="auto" w:sz="8" w:space="0"/>
              <w:right w:val="single" w:color="auto" w:sz="8" w:space="0"/>
            </w:tcBorders>
            <w:shd w:val="clear"/>
            <w:noWrap/>
            <w:tcMar>
              <w:left w:w="108" w:type="dxa"/>
              <w:right w:w="108" w:type="dxa"/>
            </w:tcMar>
            <w:vAlign w:val="center"/>
          </w:tcPr>
          <w:p w14:paraId="0DB907F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7AD9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14:paraId="0D574B04">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行政强制</w:t>
            </w:r>
          </w:p>
        </w:tc>
        <w:tc>
          <w:tcPr>
            <w:tcW w:w="6553" w:type="dxa"/>
            <w:gridSpan w:val="3"/>
            <w:tcBorders>
              <w:top w:val="nil"/>
              <w:left w:val="nil"/>
              <w:bottom w:val="single" w:color="auto" w:sz="8" w:space="0"/>
              <w:right w:val="single" w:color="auto" w:sz="8" w:space="0"/>
            </w:tcBorders>
            <w:shd w:val="clear"/>
            <w:noWrap/>
            <w:tcMar>
              <w:left w:w="108" w:type="dxa"/>
              <w:right w:w="108" w:type="dxa"/>
            </w:tcMar>
            <w:vAlign w:val="center"/>
          </w:tcPr>
          <w:p w14:paraId="59E4AB6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52D9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43C9C497">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第二十条第（八）项</w:t>
            </w:r>
          </w:p>
        </w:tc>
      </w:tr>
      <w:tr w14:paraId="2EC9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14:paraId="54BB97AA">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信息内容</w:t>
            </w:r>
          </w:p>
        </w:tc>
        <w:tc>
          <w:tcPr>
            <w:tcW w:w="6553" w:type="dxa"/>
            <w:gridSpan w:val="3"/>
            <w:tcBorders>
              <w:top w:val="nil"/>
              <w:left w:val="nil"/>
              <w:bottom w:val="single" w:color="auto" w:sz="8" w:space="0"/>
              <w:right w:val="single" w:color="000000" w:sz="8" w:space="0"/>
            </w:tcBorders>
            <w:shd w:val="clear"/>
            <w:noWrap/>
            <w:tcMar>
              <w:left w:w="108" w:type="dxa"/>
              <w:right w:w="108" w:type="dxa"/>
            </w:tcMar>
            <w:vAlign w:val="center"/>
          </w:tcPr>
          <w:p w14:paraId="1E81AB41">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本年收费金额（单位：万元）</w:t>
            </w:r>
          </w:p>
        </w:tc>
      </w:tr>
      <w:tr w14:paraId="503B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14:paraId="137CA78B">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行政事业性收费</w:t>
            </w:r>
          </w:p>
        </w:tc>
        <w:tc>
          <w:tcPr>
            <w:tcW w:w="6553" w:type="dxa"/>
            <w:gridSpan w:val="3"/>
            <w:tcBorders>
              <w:top w:val="nil"/>
              <w:left w:val="nil"/>
              <w:bottom w:val="single" w:color="auto" w:sz="8" w:space="0"/>
              <w:right w:val="single" w:color="000000" w:sz="8" w:space="0"/>
            </w:tcBorders>
            <w:shd w:val="clear"/>
            <w:noWrap/>
            <w:tcMar>
              <w:left w:w="108" w:type="dxa"/>
              <w:right w:w="108" w:type="dxa"/>
            </w:tcMar>
            <w:vAlign w:val="center"/>
          </w:tcPr>
          <w:p w14:paraId="70E161E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bl>
    <w:p w14:paraId="08BCF1DA">
      <w:pPr>
        <w:keepNext w:val="0"/>
        <w:keepLines w:val="0"/>
        <w:widowControl/>
        <w:numPr>
          <w:numId w:val="0"/>
        </w:numPr>
        <w:suppressLineNumbers w:val="0"/>
        <w:spacing w:before="0" w:beforeAutospacing="0" w:after="0" w:afterAutospacing="0"/>
        <w:ind w:left="0" w:right="0" w:firstLine="482" w:firstLineChars="200"/>
        <w:jc w:val="left"/>
      </w:pPr>
      <w:r>
        <w:rPr>
          <w:rFonts w:hint="eastAsia" w:ascii="宋体" w:hAnsi="宋体" w:eastAsia="宋体" w:cs="宋体"/>
          <w:b/>
          <w:bCs/>
          <w:kern w:val="2"/>
          <w:sz w:val="24"/>
          <w:szCs w:val="24"/>
          <w:lang w:val="en-US" w:eastAsia="zh-CN" w:bidi="ar"/>
        </w:rPr>
        <w:t>三、收到和处理政府信息公开申请情况</w:t>
      </w:r>
    </w:p>
    <w:tbl>
      <w:tblPr>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653"/>
        <w:gridCol w:w="815"/>
        <w:gridCol w:w="2651"/>
        <w:gridCol w:w="685"/>
        <w:gridCol w:w="696"/>
        <w:gridCol w:w="729"/>
        <w:gridCol w:w="707"/>
        <w:gridCol w:w="762"/>
        <w:gridCol w:w="685"/>
        <w:gridCol w:w="631"/>
      </w:tblGrid>
      <w:tr w14:paraId="24DE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0" w:hRule="atLeast"/>
          <w:jc w:val="center"/>
        </w:trPr>
        <w:tc>
          <w:tcPr>
            <w:tcW w:w="4119" w:type="dxa"/>
            <w:gridSpan w:val="3"/>
            <w:vMerge w:val="restart"/>
            <w:tcBorders>
              <w:top w:val="single" w:color="auto" w:sz="4" w:space="0"/>
              <w:left w:val="single" w:color="auto" w:sz="4" w:space="0"/>
              <w:bottom w:val="single" w:color="auto" w:sz="4" w:space="0"/>
              <w:right w:val="single" w:color="auto" w:sz="4" w:space="0"/>
            </w:tcBorders>
            <w:shd w:val="clear"/>
            <w:vAlign w:val="center"/>
          </w:tcPr>
          <w:p w14:paraId="3F3EB8E6">
            <w:pPr>
              <w:keepNext w:val="0"/>
              <w:keepLines w:val="0"/>
              <w:widowControl/>
              <w:suppressLineNumbers w:val="0"/>
              <w:spacing w:before="0" w:beforeAutospacing="0" w:after="0" w:afterAutospacing="0"/>
              <w:ind w:left="0" w:right="0"/>
              <w:jc w:val="center"/>
            </w:pPr>
            <w:r>
              <w:rPr>
                <w:rFonts w:ascii="楷体" w:hAnsi="楷体" w:eastAsia="楷体" w:cs="楷体"/>
                <w:kern w:val="0"/>
                <w:sz w:val="20"/>
                <w:szCs w:val="20"/>
                <w:bdr w:val="none" w:color="auto" w:sz="0" w:space="0"/>
                <w:lang w:val="en-US" w:eastAsia="zh-CN" w:bidi="ar"/>
              </w:rPr>
              <w:t>（本列数据的勾稽关系为：第一项加第二项之和，等于第三项加第四项之和）</w:t>
            </w:r>
          </w:p>
        </w:tc>
        <w:tc>
          <w:tcPr>
            <w:tcW w:w="4895" w:type="dxa"/>
            <w:gridSpan w:val="7"/>
            <w:tcBorders>
              <w:top w:val="single" w:color="auto" w:sz="4" w:space="0"/>
              <w:left w:val="single" w:color="auto" w:sz="4" w:space="0"/>
              <w:bottom w:val="single" w:color="auto" w:sz="4" w:space="0"/>
              <w:right w:val="single" w:color="auto" w:sz="4" w:space="0"/>
            </w:tcBorders>
            <w:shd w:val="clear"/>
            <w:vAlign w:val="center"/>
          </w:tcPr>
          <w:p w14:paraId="5DFD716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申请人情况</w:t>
            </w:r>
          </w:p>
        </w:tc>
      </w:tr>
      <w:tr w14:paraId="4CDC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19" w:type="dxa"/>
            <w:gridSpan w:val="3"/>
            <w:vMerge w:val="continue"/>
            <w:tcBorders>
              <w:top w:val="single" w:color="auto" w:sz="4" w:space="0"/>
              <w:left w:val="single" w:color="auto" w:sz="4" w:space="0"/>
              <w:bottom w:val="single" w:color="auto" w:sz="4" w:space="0"/>
              <w:right w:val="single" w:color="auto" w:sz="4" w:space="0"/>
            </w:tcBorders>
            <w:shd w:val="clear"/>
            <w:vAlign w:val="center"/>
          </w:tcPr>
          <w:p w14:paraId="7A6D3B34">
            <w:pPr>
              <w:rPr>
                <w:rFonts w:hint="eastAsia" w:ascii="宋体" w:hAnsi="宋体" w:eastAsia="宋体" w:cs="宋体"/>
                <w:sz w:val="24"/>
                <w:szCs w:val="24"/>
              </w:rPr>
            </w:pPr>
          </w:p>
        </w:tc>
        <w:tc>
          <w:tcPr>
            <w:tcW w:w="685" w:type="dxa"/>
            <w:vMerge w:val="restart"/>
            <w:tcBorders>
              <w:top w:val="nil"/>
              <w:left w:val="single" w:color="auto" w:sz="4" w:space="0"/>
              <w:bottom w:val="single" w:color="auto" w:sz="4" w:space="0"/>
              <w:right w:val="single" w:color="auto" w:sz="4" w:space="0"/>
            </w:tcBorders>
            <w:shd w:val="clear"/>
            <w:vAlign w:val="center"/>
          </w:tcPr>
          <w:p w14:paraId="405B12F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自然人</w:t>
            </w:r>
          </w:p>
        </w:tc>
        <w:tc>
          <w:tcPr>
            <w:tcW w:w="3579" w:type="dxa"/>
            <w:gridSpan w:val="5"/>
            <w:tcBorders>
              <w:top w:val="single" w:color="auto" w:sz="4" w:space="0"/>
              <w:left w:val="single" w:color="auto" w:sz="4" w:space="0"/>
              <w:bottom w:val="single" w:color="auto" w:sz="4" w:space="0"/>
              <w:right w:val="single" w:color="auto" w:sz="4" w:space="0"/>
            </w:tcBorders>
            <w:shd w:val="clear"/>
            <w:vAlign w:val="center"/>
          </w:tcPr>
          <w:p w14:paraId="474765E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法人或其他组织</w:t>
            </w:r>
          </w:p>
        </w:tc>
        <w:tc>
          <w:tcPr>
            <w:tcW w:w="631" w:type="dxa"/>
            <w:vMerge w:val="restart"/>
            <w:tcBorders>
              <w:top w:val="single" w:color="auto" w:sz="4" w:space="0"/>
              <w:left w:val="single" w:color="auto" w:sz="4" w:space="0"/>
              <w:bottom w:val="single" w:color="auto" w:sz="4" w:space="0"/>
              <w:right w:val="single" w:color="auto" w:sz="4" w:space="0"/>
            </w:tcBorders>
            <w:shd w:val="clear"/>
            <w:vAlign w:val="center"/>
          </w:tcPr>
          <w:p w14:paraId="4FCD2DD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总计</w:t>
            </w:r>
          </w:p>
        </w:tc>
      </w:tr>
      <w:tr w14:paraId="0920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9" w:type="dxa"/>
            <w:gridSpan w:val="3"/>
            <w:vMerge w:val="continue"/>
            <w:tcBorders>
              <w:top w:val="single" w:color="auto" w:sz="4" w:space="0"/>
              <w:left w:val="single" w:color="auto" w:sz="4" w:space="0"/>
              <w:bottom w:val="single" w:color="auto" w:sz="4" w:space="0"/>
              <w:right w:val="single" w:color="auto" w:sz="4" w:space="0"/>
            </w:tcBorders>
            <w:shd w:val="clear"/>
            <w:vAlign w:val="center"/>
          </w:tcPr>
          <w:p w14:paraId="29A72329">
            <w:pPr>
              <w:rPr>
                <w:rFonts w:hint="eastAsia" w:ascii="宋体" w:hAnsi="宋体" w:eastAsia="宋体" w:cs="宋体"/>
                <w:sz w:val="24"/>
                <w:szCs w:val="24"/>
              </w:rPr>
            </w:pPr>
          </w:p>
        </w:tc>
        <w:tc>
          <w:tcPr>
            <w:tcW w:w="685" w:type="dxa"/>
            <w:vMerge w:val="continue"/>
            <w:tcBorders>
              <w:top w:val="nil"/>
              <w:left w:val="single" w:color="auto" w:sz="4" w:space="0"/>
              <w:bottom w:val="single" w:color="auto" w:sz="4" w:space="0"/>
              <w:right w:val="single" w:color="auto" w:sz="4" w:space="0"/>
            </w:tcBorders>
            <w:shd w:val="clear"/>
            <w:vAlign w:val="center"/>
          </w:tcPr>
          <w:p w14:paraId="3A3CAFA5">
            <w:pPr>
              <w:rPr>
                <w:rFonts w:hint="eastAsia" w:ascii="宋体" w:hAnsi="宋体" w:eastAsia="宋体" w:cs="宋体"/>
                <w:sz w:val="24"/>
                <w:szCs w:val="24"/>
              </w:rPr>
            </w:pPr>
          </w:p>
        </w:tc>
        <w:tc>
          <w:tcPr>
            <w:tcW w:w="696" w:type="dxa"/>
            <w:tcBorders>
              <w:top w:val="single" w:color="auto" w:sz="4" w:space="0"/>
              <w:left w:val="single" w:color="auto" w:sz="4" w:space="0"/>
              <w:bottom w:val="single" w:color="auto" w:sz="4" w:space="0"/>
              <w:right w:val="single" w:color="auto" w:sz="4" w:space="0"/>
            </w:tcBorders>
            <w:shd w:val="clear"/>
            <w:vAlign w:val="center"/>
          </w:tcPr>
          <w:p w14:paraId="44FF83A3">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商业企业</w:t>
            </w:r>
          </w:p>
        </w:tc>
        <w:tc>
          <w:tcPr>
            <w:tcW w:w="729" w:type="dxa"/>
            <w:tcBorders>
              <w:top w:val="single" w:color="auto" w:sz="4" w:space="0"/>
              <w:left w:val="single" w:color="auto" w:sz="4" w:space="0"/>
              <w:bottom w:val="single" w:color="auto" w:sz="4" w:space="0"/>
              <w:right w:val="single" w:color="auto" w:sz="4" w:space="0"/>
            </w:tcBorders>
            <w:shd w:val="clear"/>
            <w:vAlign w:val="center"/>
          </w:tcPr>
          <w:p w14:paraId="1C54983D">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科研机构</w:t>
            </w:r>
          </w:p>
        </w:tc>
        <w:tc>
          <w:tcPr>
            <w:tcW w:w="707" w:type="dxa"/>
            <w:tcBorders>
              <w:top w:val="single" w:color="auto" w:sz="4" w:space="0"/>
              <w:left w:val="single" w:color="auto" w:sz="4" w:space="0"/>
              <w:bottom w:val="single" w:color="auto" w:sz="4" w:space="0"/>
              <w:right w:val="single" w:color="auto" w:sz="4" w:space="0"/>
            </w:tcBorders>
            <w:shd w:val="clear"/>
            <w:vAlign w:val="center"/>
          </w:tcPr>
          <w:p w14:paraId="3DEF618F">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社会公益组织</w:t>
            </w:r>
          </w:p>
        </w:tc>
        <w:tc>
          <w:tcPr>
            <w:tcW w:w="762" w:type="dxa"/>
            <w:tcBorders>
              <w:top w:val="single" w:color="auto" w:sz="4" w:space="0"/>
              <w:left w:val="single" w:color="auto" w:sz="4" w:space="0"/>
              <w:bottom w:val="single" w:color="auto" w:sz="4" w:space="0"/>
              <w:right w:val="single" w:color="auto" w:sz="4" w:space="0"/>
            </w:tcBorders>
            <w:shd w:val="clear"/>
            <w:vAlign w:val="center"/>
          </w:tcPr>
          <w:p w14:paraId="1CA18B8E">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法律服务机构</w:t>
            </w:r>
          </w:p>
        </w:tc>
        <w:tc>
          <w:tcPr>
            <w:tcW w:w="685" w:type="dxa"/>
            <w:tcBorders>
              <w:top w:val="single" w:color="auto" w:sz="4" w:space="0"/>
              <w:left w:val="single" w:color="auto" w:sz="4" w:space="0"/>
              <w:bottom w:val="single" w:color="auto" w:sz="4" w:space="0"/>
              <w:right w:val="single" w:color="auto" w:sz="4" w:space="0"/>
            </w:tcBorders>
            <w:shd w:val="clear"/>
            <w:vAlign w:val="center"/>
          </w:tcPr>
          <w:p w14:paraId="1F029D7C">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其他</w:t>
            </w:r>
          </w:p>
        </w:tc>
        <w:tc>
          <w:tcPr>
            <w:tcW w:w="631" w:type="dxa"/>
            <w:vMerge w:val="continue"/>
            <w:tcBorders>
              <w:top w:val="single" w:color="auto" w:sz="4" w:space="0"/>
              <w:left w:val="single" w:color="auto" w:sz="4" w:space="0"/>
              <w:bottom w:val="single" w:color="auto" w:sz="4" w:space="0"/>
              <w:right w:val="single" w:color="auto" w:sz="4" w:space="0"/>
            </w:tcBorders>
            <w:shd w:val="clear"/>
            <w:vAlign w:val="center"/>
          </w:tcPr>
          <w:p w14:paraId="1B0CDDCD">
            <w:pPr>
              <w:rPr>
                <w:rFonts w:hint="eastAsia" w:ascii="宋体" w:hAnsi="宋体" w:eastAsia="宋体" w:cs="宋体"/>
                <w:sz w:val="24"/>
                <w:szCs w:val="24"/>
              </w:rPr>
            </w:pPr>
          </w:p>
        </w:tc>
      </w:tr>
      <w:tr w14:paraId="4185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19" w:type="dxa"/>
            <w:gridSpan w:val="3"/>
            <w:tcBorders>
              <w:top w:val="single" w:color="auto" w:sz="4" w:space="0"/>
              <w:left w:val="single" w:color="auto" w:sz="4" w:space="0"/>
              <w:bottom w:val="single" w:color="auto" w:sz="4" w:space="0"/>
              <w:right w:val="single" w:color="auto" w:sz="4" w:space="0"/>
            </w:tcBorders>
            <w:shd w:val="clear"/>
            <w:vAlign w:val="center"/>
          </w:tcPr>
          <w:p w14:paraId="67388394">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一、本年新收政府信息公开申请数量</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05B24F8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0792104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72D7C68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16BC73F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75A0272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4B37879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56C7E80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015E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119" w:type="dxa"/>
            <w:gridSpan w:val="3"/>
            <w:tcBorders>
              <w:top w:val="single" w:color="auto" w:sz="4" w:space="0"/>
              <w:left w:val="single" w:color="auto" w:sz="4" w:space="0"/>
              <w:bottom w:val="single" w:color="auto" w:sz="4" w:space="0"/>
              <w:right w:val="single" w:color="auto" w:sz="4" w:space="0"/>
            </w:tcBorders>
            <w:shd w:val="clear"/>
            <w:vAlign w:val="center"/>
          </w:tcPr>
          <w:p w14:paraId="2438D97B">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二、上年结转政府信息公开申请数量</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6FB76DC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46AD045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4B5CEEA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09F6826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1144732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3B0F179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1E1D032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4037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restart"/>
            <w:tcBorders>
              <w:top w:val="nil"/>
              <w:left w:val="single" w:color="auto" w:sz="4" w:space="0"/>
              <w:bottom w:val="single" w:color="auto" w:sz="4" w:space="0"/>
              <w:right w:val="single" w:color="auto" w:sz="4" w:space="0"/>
            </w:tcBorders>
            <w:shd w:val="clear"/>
            <w:vAlign w:val="center"/>
          </w:tcPr>
          <w:p w14:paraId="13216953">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 </w:t>
            </w:r>
          </w:p>
          <w:p w14:paraId="1B1246DE">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 </w:t>
            </w:r>
          </w:p>
          <w:p w14:paraId="76D0ADAD">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 </w:t>
            </w:r>
          </w:p>
          <w:p w14:paraId="76497119">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 </w:t>
            </w:r>
          </w:p>
          <w:p w14:paraId="342C3FDB">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 </w:t>
            </w:r>
          </w:p>
          <w:p w14:paraId="4A898347">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 </w:t>
            </w:r>
          </w:p>
          <w:p w14:paraId="05EB872A">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 </w:t>
            </w:r>
          </w:p>
          <w:p w14:paraId="572E695C">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 </w:t>
            </w:r>
          </w:p>
          <w:p w14:paraId="792ABE1E">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 </w:t>
            </w:r>
          </w:p>
          <w:p w14:paraId="5F56ABB7">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 </w:t>
            </w:r>
          </w:p>
          <w:p w14:paraId="1CF9864C">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 </w:t>
            </w:r>
          </w:p>
          <w:p w14:paraId="5EC93CBF">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 </w:t>
            </w:r>
          </w:p>
          <w:p w14:paraId="25AC244A">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 </w:t>
            </w:r>
          </w:p>
          <w:p w14:paraId="331F4A94">
            <w:pPr>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kern w:val="0"/>
                <w:sz w:val="20"/>
                <w:szCs w:val="20"/>
                <w:bdr w:val="none" w:color="auto" w:sz="0" w:space="0"/>
                <w:lang w:val="en-US" w:eastAsia="zh-CN" w:bidi="ar"/>
              </w:rPr>
              <w:t>三、本年度办理结果</w:t>
            </w:r>
          </w:p>
        </w:tc>
        <w:tc>
          <w:tcPr>
            <w:tcW w:w="3466" w:type="dxa"/>
            <w:gridSpan w:val="2"/>
            <w:tcBorders>
              <w:top w:val="single" w:color="auto" w:sz="4" w:space="0"/>
              <w:left w:val="single" w:color="auto" w:sz="4" w:space="0"/>
              <w:bottom w:val="single" w:color="auto" w:sz="4" w:space="0"/>
              <w:right w:val="single" w:color="auto" w:sz="4" w:space="0"/>
            </w:tcBorders>
            <w:shd w:val="clear"/>
            <w:vAlign w:val="center"/>
          </w:tcPr>
          <w:p w14:paraId="2D3F4CB7">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（一）予以公开</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7A6CA02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7660BE2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7D3F61A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07D5B55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26F4CAF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6B25129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37E4E63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44F9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663C54F7">
            <w:pPr>
              <w:rPr>
                <w:rFonts w:hint="eastAsia" w:ascii="宋体" w:hAnsi="宋体" w:eastAsia="宋体" w:cs="宋体"/>
                <w:sz w:val="24"/>
                <w:szCs w:val="24"/>
              </w:rPr>
            </w:pPr>
          </w:p>
        </w:tc>
        <w:tc>
          <w:tcPr>
            <w:tcW w:w="3466" w:type="dxa"/>
            <w:gridSpan w:val="2"/>
            <w:tcBorders>
              <w:top w:val="single" w:color="auto" w:sz="4" w:space="0"/>
              <w:left w:val="single" w:color="auto" w:sz="4" w:space="0"/>
              <w:bottom w:val="single" w:color="auto" w:sz="4" w:space="0"/>
              <w:right w:val="single" w:color="auto" w:sz="4" w:space="0"/>
            </w:tcBorders>
            <w:shd w:val="clear"/>
            <w:vAlign w:val="center"/>
          </w:tcPr>
          <w:p w14:paraId="414F06B5">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（二）部分公开（区分处理的，只计这一情形，不计其他情形）</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2A146EB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6A554FB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453BF40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229104B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63F8EEA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14F95A6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78AB817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2A7E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551FD05C">
            <w:pPr>
              <w:rPr>
                <w:rFonts w:hint="eastAsia" w:ascii="宋体" w:hAnsi="宋体" w:eastAsia="宋体" w:cs="宋体"/>
                <w:sz w:val="24"/>
                <w:szCs w:val="24"/>
              </w:rPr>
            </w:pPr>
          </w:p>
        </w:tc>
        <w:tc>
          <w:tcPr>
            <w:tcW w:w="815" w:type="dxa"/>
            <w:vMerge w:val="restart"/>
            <w:tcBorders>
              <w:top w:val="nil"/>
              <w:left w:val="single" w:color="auto" w:sz="4" w:space="0"/>
              <w:bottom w:val="single" w:color="auto" w:sz="4" w:space="0"/>
              <w:right w:val="single" w:color="auto" w:sz="4" w:space="0"/>
            </w:tcBorders>
            <w:shd w:val="clear"/>
            <w:vAlign w:val="center"/>
          </w:tcPr>
          <w:p w14:paraId="40E90C2C">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（三）不予公开</w:t>
            </w: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276CA9D4">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1.属于国家秘密</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3950D15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23E52F8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150398F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245CE4C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58C9F35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73675F4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686227A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55CB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4BCD1FBD">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vAlign w:val="center"/>
          </w:tcPr>
          <w:p w14:paraId="08BA249B">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5157495C">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2.其他法律行政法规禁止公开</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10C3B8C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37AFB03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6948F15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6EEA64E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6B49310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22D8966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2BC0E95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0351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6FC15037">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vAlign w:val="center"/>
          </w:tcPr>
          <w:p w14:paraId="20D0321E">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1B3862A4">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3.危及“三安全一稳定”</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30655AB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3468D14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69208E1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6648438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019D098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56B1A28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066C735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4378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3CAFD6B1">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vAlign w:val="center"/>
          </w:tcPr>
          <w:p w14:paraId="2305C33B">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392FF86D">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4.保护第三方合法权益</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62C8556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4ED74D4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7451F5A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2C5D6E2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5CEC724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0AD6046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6B666DB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7B89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37FF1816">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vAlign w:val="center"/>
          </w:tcPr>
          <w:p w14:paraId="0EDB0D9F">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6D437C80">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5.属于三类内部事务信息</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4B8E67F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54C042D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626722C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385981E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6C771A6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1449161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7985818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69FD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757A2B50">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vAlign w:val="center"/>
          </w:tcPr>
          <w:p w14:paraId="1BBE886F">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71C9EF7D">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6.属于四类过程性信息</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3BBD6C5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37CB71C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525B540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272B94C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1A8844F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4B4815E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347328D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71E2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578AAC14">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vAlign w:val="center"/>
          </w:tcPr>
          <w:p w14:paraId="2506F31E">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5EBD2350">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7.属于行政执法案卷</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2E54268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4DCE72E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0A89FC7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5043952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5E5CCC9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512677C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0D4F511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2031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214F67A4">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vAlign w:val="center"/>
          </w:tcPr>
          <w:p w14:paraId="2C7C5B2B">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36827A31">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8.属于行政查询事项</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6F19231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3E40D91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73BE7AB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006837E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55AFFD6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274A6A8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4D1D279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081F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2F134423">
            <w:pPr>
              <w:rPr>
                <w:rFonts w:hint="eastAsia" w:ascii="宋体" w:hAnsi="宋体" w:eastAsia="宋体" w:cs="宋体"/>
                <w:sz w:val="24"/>
                <w:szCs w:val="24"/>
              </w:rPr>
            </w:pPr>
          </w:p>
        </w:tc>
        <w:tc>
          <w:tcPr>
            <w:tcW w:w="815" w:type="dxa"/>
            <w:vMerge w:val="restart"/>
            <w:tcBorders>
              <w:top w:val="nil"/>
              <w:left w:val="single" w:color="auto" w:sz="4" w:space="0"/>
              <w:bottom w:val="single" w:color="auto" w:sz="4" w:space="0"/>
              <w:right w:val="single" w:color="auto" w:sz="4" w:space="0"/>
            </w:tcBorders>
            <w:shd w:val="clear"/>
            <w:vAlign w:val="center"/>
          </w:tcPr>
          <w:p w14:paraId="2DE5CEBB">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（四）无法提供</w:t>
            </w: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477B2514">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1.本机关不掌握相关政府信息</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6D241D9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6915156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6C6EF1F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2D7B49A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43F0A2D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02C9CE2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379109A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0657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372AD18C">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vAlign w:val="center"/>
          </w:tcPr>
          <w:p w14:paraId="36E5ADD0">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451719BD">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2.没有现成信息需要另行制作</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7F75E8B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2978CD3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317A7B5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348880B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117533B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699FD86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723C13A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34E8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4A79180C">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vAlign w:val="center"/>
          </w:tcPr>
          <w:p w14:paraId="74053068">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163B4C4F">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3.补正后申请内容仍不明确</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6CEF4B0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4DF7DEF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4B8F0A3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130B250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0743AA4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228D9D1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6D88D48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48E8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7A4E8004">
            <w:pPr>
              <w:rPr>
                <w:rFonts w:hint="eastAsia" w:ascii="宋体" w:hAnsi="宋体" w:eastAsia="宋体" w:cs="宋体"/>
                <w:sz w:val="24"/>
                <w:szCs w:val="24"/>
              </w:rPr>
            </w:pPr>
          </w:p>
        </w:tc>
        <w:tc>
          <w:tcPr>
            <w:tcW w:w="815" w:type="dxa"/>
            <w:vMerge w:val="restart"/>
            <w:tcBorders>
              <w:top w:val="nil"/>
              <w:left w:val="single" w:color="auto" w:sz="4" w:space="0"/>
              <w:bottom w:val="single" w:color="auto" w:sz="4" w:space="0"/>
              <w:right w:val="single" w:color="auto" w:sz="4" w:space="0"/>
            </w:tcBorders>
            <w:shd w:val="clear"/>
            <w:vAlign w:val="center"/>
          </w:tcPr>
          <w:p w14:paraId="57EE94A0">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（五）不予处理</w:t>
            </w: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618832A7">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1.信访举报投诉类申请</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55F933E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3265C13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55D5D9F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0C5A7E3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7F61274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3A62DD5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34F6E07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4565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14BF9C26">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vAlign w:val="center"/>
          </w:tcPr>
          <w:p w14:paraId="2FD43E09">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1A170995">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2.重复申请</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4A131EA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6382607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62E1D51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175CA26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17A79BF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5DF9367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62BBDB7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6962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633436C8">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vAlign w:val="center"/>
          </w:tcPr>
          <w:p w14:paraId="4244A935">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3E376BEA">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3.要求提供公开出版物</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4043B7C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3073C55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4C7FAE1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29F6284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619CD30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372756E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1E123A3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7FE9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7B7E93B1">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vAlign w:val="center"/>
          </w:tcPr>
          <w:p w14:paraId="16B4DF7D">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2906B7E0">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4.无正当理由大量反复申请</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2CAD1E3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5B2B849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51391CC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7C0465D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04076E4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2FBAD6A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5FF50F4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1FD3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643B09BA">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vAlign w:val="center"/>
          </w:tcPr>
          <w:p w14:paraId="450CA10F">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058E3297">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5.要求行政机关确认或重新出具已获取信息</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6783886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6EFC0AD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4A600B0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27E93B7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678EBBE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3C53E75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62FD69B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2D8E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1E93CF9E">
            <w:pPr>
              <w:rPr>
                <w:rFonts w:hint="eastAsia" w:ascii="宋体" w:hAnsi="宋体" w:eastAsia="宋体" w:cs="宋体"/>
                <w:sz w:val="24"/>
                <w:szCs w:val="24"/>
              </w:rPr>
            </w:pPr>
          </w:p>
        </w:tc>
        <w:tc>
          <w:tcPr>
            <w:tcW w:w="815" w:type="dxa"/>
            <w:vMerge w:val="restart"/>
            <w:tcBorders>
              <w:top w:val="nil"/>
              <w:left w:val="single" w:color="auto" w:sz="4" w:space="0"/>
              <w:bottom w:val="single" w:color="auto" w:sz="4" w:space="0"/>
              <w:right w:val="single" w:color="auto" w:sz="4" w:space="0"/>
            </w:tcBorders>
            <w:shd w:val="clear"/>
            <w:vAlign w:val="center"/>
          </w:tcPr>
          <w:p w14:paraId="673F41CB">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（六）其他处理</w:t>
            </w: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7E508438">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1.申请人无正当理由逾期不补正、行政机关不再处理其政府信息公开申请</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1866141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28E6F47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10B521A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12797AF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19D90F0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749AC69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4F7C07C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0612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10E4FB6A">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vAlign w:val="center"/>
          </w:tcPr>
          <w:p w14:paraId="58584C8E">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062BF000">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2.申请人逾期未按收费通知要求缴纳费用、行政机关不再处理其政府信息公开申请</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15D63F3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2697301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2FBF4AD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3AF132F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28EC494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61D7273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0D96427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3D42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45D1DCCF">
            <w:pPr>
              <w:rPr>
                <w:rFonts w:hint="eastAsia" w:ascii="宋体" w:hAnsi="宋体" w:eastAsia="宋体" w:cs="宋体"/>
                <w:sz w:val="24"/>
                <w:szCs w:val="24"/>
              </w:rPr>
            </w:pPr>
          </w:p>
        </w:tc>
        <w:tc>
          <w:tcPr>
            <w:tcW w:w="815" w:type="dxa"/>
            <w:vMerge w:val="continue"/>
            <w:tcBorders>
              <w:top w:val="nil"/>
              <w:left w:val="single" w:color="auto" w:sz="4" w:space="0"/>
              <w:bottom w:val="single" w:color="auto" w:sz="4" w:space="0"/>
              <w:right w:val="single" w:color="auto" w:sz="4" w:space="0"/>
            </w:tcBorders>
            <w:shd w:val="clear"/>
            <w:vAlign w:val="center"/>
          </w:tcPr>
          <w:p w14:paraId="11651AC1">
            <w:pPr>
              <w:rPr>
                <w:rFonts w:hint="eastAsia" w:ascii="宋体" w:hAnsi="宋体" w:eastAsia="宋体" w:cs="宋体"/>
                <w:sz w:val="24"/>
                <w:szCs w:val="24"/>
              </w:rPr>
            </w:pPr>
          </w:p>
        </w:tc>
        <w:tc>
          <w:tcPr>
            <w:tcW w:w="2651" w:type="dxa"/>
            <w:tcBorders>
              <w:top w:val="single" w:color="auto" w:sz="4" w:space="0"/>
              <w:left w:val="single" w:color="auto" w:sz="4" w:space="0"/>
              <w:bottom w:val="single" w:color="auto" w:sz="4" w:space="0"/>
              <w:right w:val="single" w:color="auto" w:sz="4" w:space="0"/>
            </w:tcBorders>
            <w:shd w:val="clear"/>
            <w:vAlign w:val="center"/>
          </w:tcPr>
          <w:p w14:paraId="20D1DEBB">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3.其他</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5EFB08A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49B32E4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1526D1E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528B186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2A82F7D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6C892ED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12F6DB9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0797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53" w:type="dxa"/>
            <w:vMerge w:val="continue"/>
            <w:tcBorders>
              <w:top w:val="nil"/>
              <w:left w:val="single" w:color="auto" w:sz="4" w:space="0"/>
              <w:bottom w:val="single" w:color="auto" w:sz="4" w:space="0"/>
              <w:right w:val="single" w:color="auto" w:sz="4" w:space="0"/>
            </w:tcBorders>
            <w:shd w:val="clear"/>
            <w:vAlign w:val="center"/>
          </w:tcPr>
          <w:p w14:paraId="102AEF11">
            <w:pPr>
              <w:rPr>
                <w:rFonts w:hint="eastAsia" w:ascii="宋体" w:hAnsi="宋体" w:eastAsia="宋体" w:cs="宋体"/>
                <w:sz w:val="24"/>
                <w:szCs w:val="24"/>
              </w:rPr>
            </w:pPr>
          </w:p>
        </w:tc>
        <w:tc>
          <w:tcPr>
            <w:tcW w:w="3466" w:type="dxa"/>
            <w:gridSpan w:val="2"/>
            <w:tcBorders>
              <w:top w:val="single" w:color="auto" w:sz="4" w:space="0"/>
              <w:left w:val="single" w:color="auto" w:sz="4" w:space="0"/>
              <w:bottom w:val="single" w:color="auto" w:sz="4" w:space="0"/>
              <w:right w:val="single" w:color="auto" w:sz="4" w:space="0"/>
            </w:tcBorders>
            <w:shd w:val="clear"/>
            <w:vAlign w:val="center"/>
          </w:tcPr>
          <w:p w14:paraId="5587C598">
            <w:pPr>
              <w:keepNext w:val="0"/>
              <w:keepLines w:val="0"/>
              <w:widowControl/>
              <w:suppressLineNumbers w:val="0"/>
              <w:spacing w:before="0" w:beforeAutospacing="0" w:after="0" w:afterAutospacing="0" w:line="240" w:lineRule="atLeast"/>
              <w:ind w:left="0" w:right="0"/>
              <w:jc w:val="left"/>
            </w:pPr>
            <w:r>
              <w:rPr>
                <w:rFonts w:hint="eastAsia" w:ascii="楷体" w:hAnsi="楷体" w:eastAsia="楷体" w:cs="楷体"/>
                <w:kern w:val="0"/>
                <w:sz w:val="20"/>
                <w:szCs w:val="20"/>
                <w:bdr w:val="none" w:color="auto" w:sz="0" w:space="0"/>
                <w:lang w:val="en-US" w:eastAsia="zh-CN" w:bidi="ar"/>
              </w:rPr>
              <w:t>（七）总计</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6E2571C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2F8A9E1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6E64D98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187E364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108D0FE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4664C50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4EA00E2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r w14:paraId="2AD4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119" w:type="dxa"/>
            <w:gridSpan w:val="3"/>
            <w:tcBorders>
              <w:top w:val="single" w:color="auto" w:sz="4" w:space="0"/>
              <w:left w:val="single" w:color="auto" w:sz="4" w:space="0"/>
              <w:bottom w:val="single" w:color="auto" w:sz="4" w:space="0"/>
              <w:right w:val="single" w:color="auto" w:sz="4" w:space="0"/>
            </w:tcBorders>
            <w:shd w:val="clear"/>
            <w:vAlign w:val="center"/>
          </w:tcPr>
          <w:p w14:paraId="182E43DF">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四、结转下年度继续办理</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0830D3F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96" w:type="dxa"/>
            <w:tcBorders>
              <w:top w:val="single" w:color="auto" w:sz="4" w:space="0"/>
              <w:left w:val="single" w:color="auto" w:sz="4" w:space="0"/>
              <w:bottom w:val="single" w:color="auto" w:sz="4" w:space="0"/>
              <w:right w:val="single" w:color="auto" w:sz="4" w:space="0"/>
            </w:tcBorders>
            <w:shd w:val="clear"/>
            <w:vAlign w:val="top"/>
          </w:tcPr>
          <w:p w14:paraId="18B1AD8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29" w:type="dxa"/>
            <w:tcBorders>
              <w:top w:val="single" w:color="auto" w:sz="4" w:space="0"/>
              <w:left w:val="single" w:color="auto" w:sz="4" w:space="0"/>
              <w:bottom w:val="single" w:color="auto" w:sz="4" w:space="0"/>
              <w:right w:val="single" w:color="auto" w:sz="4" w:space="0"/>
            </w:tcBorders>
            <w:shd w:val="clear"/>
            <w:vAlign w:val="top"/>
          </w:tcPr>
          <w:p w14:paraId="7826BA0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07" w:type="dxa"/>
            <w:tcBorders>
              <w:top w:val="single" w:color="auto" w:sz="4" w:space="0"/>
              <w:left w:val="single" w:color="auto" w:sz="4" w:space="0"/>
              <w:bottom w:val="single" w:color="auto" w:sz="4" w:space="0"/>
              <w:right w:val="single" w:color="auto" w:sz="4" w:space="0"/>
            </w:tcBorders>
            <w:shd w:val="clear"/>
            <w:vAlign w:val="top"/>
          </w:tcPr>
          <w:p w14:paraId="4FFA664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762" w:type="dxa"/>
            <w:tcBorders>
              <w:top w:val="single" w:color="auto" w:sz="4" w:space="0"/>
              <w:left w:val="single" w:color="auto" w:sz="4" w:space="0"/>
              <w:bottom w:val="single" w:color="auto" w:sz="4" w:space="0"/>
              <w:right w:val="single" w:color="auto" w:sz="4" w:space="0"/>
            </w:tcBorders>
            <w:shd w:val="clear"/>
            <w:vAlign w:val="top"/>
          </w:tcPr>
          <w:p w14:paraId="45A9A53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85" w:type="dxa"/>
            <w:tcBorders>
              <w:top w:val="single" w:color="auto" w:sz="4" w:space="0"/>
              <w:left w:val="single" w:color="auto" w:sz="4" w:space="0"/>
              <w:bottom w:val="single" w:color="auto" w:sz="4" w:space="0"/>
              <w:right w:val="single" w:color="auto" w:sz="4" w:space="0"/>
            </w:tcBorders>
            <w:shd w:val="clear"/>
            <w:vAlign w:val="top"/>
          </w:tcPr>
          <w:p w14:paraId="433CDB6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c>
          <w:tcPr>
            <w:tcW w:w="631" w:type="dxa"/>
            <w:tcBorders>
              <w:top w:val="single" w:color="auto" w:sz="4" w:space="0"/>
              <w:left w:val="single" w:color="auto" w:sz="4" w:space="0"/>
              <w:bottom w:val="single" w:color="auto" w:sz="4" w:space="0"/>
              <w:right w:val="single" w:color="auto" w:sz="4" w:space="0"/>
            </w:tcBorders>
            <w:shd w:val="clear"/>
            <w:vAlign w:val="top"/>
          </w:tcPr>
          <w:p w14:paraId="7E56E69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w:t>
            </w:r>
          </w:p>
        </w:tc>
      </w:tr>
    </w:tbl>
    <w:p w14:paraId="2EBB88D4">
      <w:pPr>
        <w:keepNext w:val="0"/>
        <w:keepLines w:val="0"/>
        <w:widowControl/>
        <w:numPr>
          <w:numId w:val="0"/>
        </w:numPr>
        <w:suppressLineNumbers w:val="0"/>
        <w:spacing w:before="0" w:beforeAutospacing="0" w:after="0" w:afterAutospacing="0"/>
        <w:ind w:left="0" w:right="0" w:firstLine="482" w:firstLineChars="200"/>
        <w:jc w:val="left"/>
      </w:pPr>
      <w:r>
        <w:rPr>
          <w:rFonts w:hint="eastAsia" w:ascii="宋体" w:hAnsi="宋体" w:eastAsia="宋体" w:cs="宋体"/>
          <w:b/>
          <w:bCs/>
          <w:kern w:val="2"/>
          <w:sz w:val="24"/>
          <w:szCs w:val="24"/>
          <w:lang w:val="en-US" w:eastAsia="zh-CN" w:bidi="ar"/>
        </w:rPr>
        <w:t>四、政府信息公开行政复议、行政诉讼情况</w:t>
      </w:r>
    </w:p>
    <w:tbl>
      <w:tblPr>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99"/>
        <w:gridCol w:w="599"/>
        <w:gridCol w:w="599"/>
        <w:gridCol w:w="606"/>
        <w:gridCol w:w="600"/>
        <w:gridCol w:w="629"/>
        <w:gridCol w:w="600"/>
        <w:gridCol w:w="600"/>
        <w:gridCol w:w="618"/>
        <w:gridCol w:w="600"/>
        <w:gridCol w:w="600"/>
        <w:gridCol w:w="600"/>
        <w:gridCol w:w="607"/>
        <w:gridCol w:w="600"/>
        <w:gridCol w:w="614"/>
      </w:tblGrid>
      <w:tr w14:paraId="79DB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024"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E13628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行政复议</w:t>
            </w:r>
          </w:p>
        </w:tc>
        <w:tc>
          <w:tcPr>
            <w:tcW w:w="6047"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14:paraId="66B4F7A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行政诉讼</w:t>
            </w:r>
          </w:p>
        </w:tc>
      </w:tr>
      <w:tr w14:paraId="0265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50F11E2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结果维持</w:t>
            </w:r>
          </w:p>
        </w:tc>
        <w:tc>
          <w:tcPr>
            <w:tcW w:w="592" w:type="dxa"/>
            <w:vMerge w:val="restart"/>
            <w:tcBorders>
              <w:top w:val="nil"/>
              <w:left w:val="nil"/>
              <w:bottom w:val="single" w:color="auto" w:sz="8" w:space="0"/>
              <w:right w:val="single" w:color="auto" w:sz="8" w:space="0"/>
            </w:tcBorders>
            <w:shd w:val="clear"/>
            <w:tcMar>
              <w:left w:w="108" w:type="dxa"/>
              <w:right w:w="108" w:type="dxa"/>
            </w:tcMar>
            <w:vAlign w:val="center"/>
          </w:tcPr>
          <w:p w14:paraId="52CF9DA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43E779D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其他结果</w:t>
            </w:r>
          </w:p>
        </w:tc>
        <w:tc>
          <w:tcPr>
            <w:tcW w:w="615"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3DAE06D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尚未审结</w:t>
            </w:r>
          </w:p>
        </w:tc>
        <w:tc>
          <w:tcPr>
            <w:tcW w:w="607"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75DF99F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总计</w:t>
            </w:r>
          </w:p>
        </w:tc>
        <w:tc>
          <w:tcPr>
            <w:tcW w:w="3042"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4027FE8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未经复议直接起诉</w:t>
            </w:r>
          </w:p>
        </w:tc>
        <w:tc>
          <w:tcPr>
            <w:tcW w:w="3005"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008B37C0">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复议后起诉</w:t>
            </w:r>
          </w:p>
        </w:tc>
      </w:tr>
      <w:tr w14:paraId="20B3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0583D73">
            <w:pPr>
              <w:rPr>
                <w:rFonts w:hint="eastAsia" w:ascii="宋体" w:hAnsi="宋体" w:eastAsia="宋体" w:cs="宋体"/>
                <w:sz w:val="24"/>
                <w:szCs w:val="24"/>
              </w:rPr>
            </w:pPr>
          </w:p>
        </w:tc>
        <w:tc>
          <w:tcPr>
            <w:tcW w:w="592" w:type="dxa"/>
            <w:vMerge w:val="continue"/>
            <w:tcBorders>
              <w:top w:val="nil"/>
              <w:left w:val="nil"/>
              <w:bottom w:val="single" w:color="auto" w:sz="8" w:space="0"/>
              <w:right w:val="single" w:color="auto" w:sz="8" w:space="0"/>
            </w:tcBorders>
            <w:shd w:val="clear"/>
            <w:tcMar>
              <w:left w:w="108" w:type="dxa"/>
              <w:right w:w="108" w:type="dxa"/>
            </w:tcMar>
            <w:vAlign w:val="center"/>
          </w:tcPr>
          <w:p w14:paraId="70A1CAAC">
            <w:pPr>
              <w:rPr>
                <w:rFonts w:hint="eastAsia" w:ascii="宋体" w:hAnsi="宋体" w:eastAsia="宋体" w:cs="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16DC7068">
            <w:pPr>
              <w:rPr>
                <w:rFonts w:hint="eastAsia" w:ascii="宋体" w:hAnsi="宋体" w:eastAsia="宋体" w:cs="宋体"/>
                <w:sz w:val="24"/>
                <w:szCs w:val="24"/>
              </w:rPr>
            </w:pPr>
          </w:p>
        </w:tc>
        <w:tc>
          <w:tcPr>
            <w:tcW w:w="615"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34CAB596">
            <w:pPr>
              <w:rPr>
                <w:rFonts w:hint="eastAsia" w:ascii="宋体" w:hAnsi="宋体" w:eastAsia="宋体" w:cs="宋体"/>
                <w:sz w:val="24"/>
                <w:szCs w:val="24"/>
              </w:rPr>
            </w:pPr>
          </w:p>
        </w:tc>
        <w:tc>
          <w:tcPr>
            <w:tcW w:w="607"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1840FE42">
            <w:pPr>
              <w:rPr>
                <w:rFonts w:hint="eastAsia" w:ascii="宋体" w:hAnsi="宋体" w:eastAsia="宋体" w:cs="宋体"/>
                <w:sz w:val="24"/>
                <w:szCs w:val="24"/>
              </w:rPr>
            </w:pPr>
          </w:p>
        </w:tc>
        <w:tc>
          <w:tcPr>
            <w:tcW w:w="637" w:type="dxa"/>
            <w:tcBorders>
              <w:top w:val="nil"/>
              <w:left w:val="nil"/>
              <w:bottom w:val="single" w:color="auto" w:sz="8" w:space="0"/>
              <w:right w:val="single" w:color="auto" w:sz="8" w:space="0"/>
            </w:tcBorders>
            <w:shd w:val="clear"/>
            <w:tcMar>
              <w:left w:w="108" w:type="dxa"/>
              <w:right w:w="108" w:type="dxa"/>
            </w:tcMar>
            <w:vAlign w:val="center"/>
          </w:tcPr>
          <w:p w14:paraId="285E301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结果维持</w:t>
            </w:r>
          </w:p>
        </w:tc>
        <w:tc>
          <w:tcPr>
            <w:tcW w:w="593" w:type="dxa"/>
            <w:tcBorders>
              <w:top w:val="nil"/>
              <w:left w:val="nil"/>
              <w:bottom w:val="single" w:color="auto" w:sz="8" w:space="0"/>
              <w:right w:val="single" w:color="auto" w:sz="8" w:space="0"/>
            </w:tcBorders>
            <w:shd w:val="clear"/>
            <w:tcMar>
              <w:left w:w="108" w:type="dxa"/>
              <w:right w:w="108" w:type="dxa"/>
            </w:tcMar>
            <w:vAlign w:val="center"/>
          </w:tcPr>
          <w:p w14:paraId="0E1D5AF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结果纠正</w:t>
            </w:r>
          </w:p>
        </w:tc>
        <w:tc>
          <w:tcPr>
            <w:tcW w:w="593"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0AF64D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其他结果</w:t>
            </w:r>
          </w:p>
        </w:tc>
        <w:tc>
          <w:tcPr>
            <w:tcW w:w="626"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42FC5F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尚未审结</w:t>
            </w:r>
          </w:p>
        </w:tc>
        <w:tc>
          <w:tcPr>
            <w:tcW w:w="593"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C1718B3">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18"/>
                <w:szCs w:val="18"/>
                <w:bdr w:val="none" w:color="auto" w:sz="0" w:space="0"/>
                <w:lang w:val="en-US" w:eastAsia="zh-CN" w:bidi="ar"/>
              </w:rPr>
              <w:t>总计</w:t>
            </w:r>
          </w:p>
        </w:tc>
        <w:tc>
          <w:tcPr>
            <w:tcW w:w="582"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AAC101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结果维持</w:t>
            </w:r>
          </w:p>
        </w:tc>
        <w:tc>
          <w:tcPr>
            <w:tcW w:w="60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2819E4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结果纠正</w:t>
            </w:r>
          </w:p>
        </w:tc>
        <w:tc>
          <w:tcPr>
            <w:tcW w:w="61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04CD1CF">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18"/>
                <w:szCs w:val="18"/>
                <w:bdr w:val="none" w:color="auto" w:sz="0" w:space="0"/>
                <w:lang w:val="en-US" w:eastAsia="zh-CN" w:bidi="ar"/>
              </w:rPr>
              <w:t>其他结果</w:t>
            </w:r>
          </w:p>
        </w:tc>
        <w:tc>
          <w:tcPr>
            <w:tcW w:w="582"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594A65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尚未审结</w:t>
            </w:r>
          </w:p>
        </w:tc>
        <w:tc>
          <w:tcPr>
            <w:tcW w:w="622"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56EF4E2">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18"/>
                <w:szCs w:val="18"/>
                <w:bdr w:val="none" w:color="auto" w:sz="0" w:space="0"/>
                <w:lang w:val="en-US" w:eastAsia="zh-CN" w:bidi="ar"/>
              </w:rPr>
              <w:t>总计</w:t>
            </w:r>
          </w:p>
        </w:tc>
      </w:tr>
      <w:tr w14:paraId="6482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7" w:hRule="atLeast"/>
          <w:jc w:val="center"/>
        </w:trPr>
        <w:tc>
          <w:tcPr>
            <w:tcW w:w="607"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9A555E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0</w:t>
            </w:r>
          </w:p>
        </w:tc>
        <w:tc>
          <w:tcPr>
            <w:tcW w:w="607" w:type="dxa"/>
            <w:tcBorders>
              <w:top w:val="nil"/>
              <w:left w:val="nil"/>
              <w:bottom w:val="single" w:color="auto" w:sz="8" w:space="0"/>
              <w:right w:val="single" w:color="auto" w:sz="8" w:space="0"/>
            </w:tcBorders>
            <w:shd w:val="clear"/>
            <w:tcMar>
              <w:left w:w="108" w:type="dxa"/>
              <w:right w:w="108" w:type="dxa"/>
            </w:tcMar>
            <w:vAlign w:val="center"/>
          </w:tcPr>
          <w:p w14:paraId="6356AEF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0</w:t>
            </w:r>
          </w:p>
        </w:tc>
        <w:tc>
          <w:tcPr>
            <w:tcW w:w="607" w:type="dxa"/>
            <w:tcBorders>
              <w:top w:val="nil"/>
              <w:left w:val="nil"/>
              <w:bottom w:val="single" w:color="auto" w:sz="8" w:space="0"/>
              <w:right w:val="single" w:color="auto" w:sz="8" w:space="0"/>
            </w:tcBorders>
            <w:shd w:val="clear"/>
            <w:tcMar>
              <w:left w:w="108" w:type="dxa"/>
              <w:right w:w="108" w:type="dxa"/>
            </w:tcMar>
            <w:vAlign w:val="center"/>
          </w:tcPr>
          <w:p w14:paraId="480DBA5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0</w:t>
            </w:r>
          </w:p>
        </w:tc>
        <w:tc>
          <w:tcPr>
            <w:tcW w:w="607" w:type="dxa"/>
            <w:tcBorders>
              <w:top w:val="nil"/>
              <w:left w:val="nil"/>
              <w:bottom w:val="single" w:color="auto" w:sz="8" w:space="0"/>
              <w:right w:val="single" w:color="auto" w:sz="8" w:space="0"/>
            </w:tcBorders>
            <w:shd w:val="clear"/>
            <w:tcMar>
              <w:left w:w="108" w:type="dxa"/>
              <w:right w:w="108" w:type="dxa"/>
            </w:tcMar>
            <w:vAlign w:val="center"/>
          </w:tcPr>
          <w:p w14:paraId="11595D7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0</w:t>
            </w:r>
          </w:p>
        </w:tc>
        <w:tc>
          <w:tcPr>
            <w:tcW w:w="607" w:type="dxa"/>
            <w:tcBorders>
              <w:top w:val="nil"/>
              <w:left w:val="nil"/>
              <w:bottom w:val="single" w:color="auto" w:sz="8" w:space="0"/>
              <w:right w:val="single" w:color="auto" w:sz="8" w:space="0"/>
            </w:tcBorders>
            <w:shd w:val="clear"/>
            <w:tcMar>
              <w:left w:w="108" w:type="dxa"/>
              <w:right w:w="108" w:type="dxa"/>
            </w:tcMar>
            <w:vAlign w:val="center"/>
          </w:tcPr>
          <w:p w14:paraId="574C9FC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0</w:t>
            </w:r>
          </w:p>
        </w:tc>
        <w:tc>
          <w:tcPr>
            <w:tcW w:w="607" w:type="dxa"/>
            <w:tcBorders>
              <w:top w:val="nil"/>
              <w:left w:val="nil"/>
              <w:bottom w:val="single" w:color="auto" w:sz="8" w:space="0"/>
              <w:right w:val="single" w:color="auto" w:sz="8" w:space="0"/>
            </w:tcBorders>
            <w:shd w:val="clear"/>
            <w:tcMar>
              <w:left w:w="108" w:type="dxa"/>
              <w:right w:w="108" w:type="dxa"/>
            </w:tcMar>
            <w:vAlign w:val="center"/>
          </w:tcPr>
          <w:p w14:paraId="560EC61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0</w:t>
            </w:r>
          </w:p>
        </w:tc>
        <w:tc>
          <w:tcPr>
            <w:tcW w:w="607" w:type="dxa"/>
            <w:tcBorders>
              <w:top w:val="nil"/>
              <w:left w:val="nil"/>
              <w:bottom w:val="single" w:color="auto" w:sz="8" w:space="0"/>
              <w:right w:val="single" w:color="auto" w:sz="8" w:space="0"/>
            </w:tcBorders>
            <w:shd w:val="clear"/>
            <w:tcMar>
              <w:left w:w="108" w:type="dxa"/>
              <w:right w:w="108" w:type="dxa"/>
            </w:tcMar>
            <w:vAlign w:val="center"/>
          </w:tcPr>
          <w:p w14:paraId="4CC3D22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0</w:t>
            </w:r>
          </w:p>
        </w:tc>
        <w:tc>
          <w:tcPr>
            <w:tcW w:w="607" w:type="dxa"/>
            <w:tcBorders>
              <w:top w:val="nil"/>
              <w:left w:val="nil"/>
              <w:bottom w:val="single" w:color="auto" w:sz="8" w:space="0"/>
              <w:right w:val="single" w:color="auto" w:sz="8" w:space="0"/>
            </w:tcBorders>
            <w:shd w:val="clear"/>
            <w:tcMar>
              <w:left w:w="108" w:type="dxa"/>
              <w:right w:w="108" w:type="dxa"/>
            </w:tcMar>
            <w:vAlign w:val="center"/>
          </w:tcPr>
          <w:p w14:paraId="4571082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0</w:t>
            </w:r>
          </w:p>
        </w:tc>
        <w:tc>
          <w:tcPr>
            <w:tcW w:w="607" w:type="dxa"/>
            <w:tcBorders>
              <w:top w:val="nil"/>
              <w:left w:val="nil"/>
              <w:bottom w:val="single" w:color="auto" w:sz="8" w:space="0"/>
              <w:right w:val="single" w:color="auto" w:sz="8" w:space="0"/>
            </w:tcBorders>
            <w:shd w:val="clear"/>
            <w:tcMar>
              <w:left w:w="108" w:type="dxa"/>
              <w:right w:w="108" w:type="dxa"/>
            </w:tcMar>
            <w:vAlign w:val="center"/>
          </w:tcPr>
          <w:p w14:paraId="708FE06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0</w:t>
            </w:r>
          </w:p>
        </w:tc>
        <w:tc>
          <w:tcPr>
            <w:tcW w:w="607" w:type="dxa"/>
            <w:tcBorders>
              <w:top w:val="nil"/>
              <w:left w:val="nil"/>
              <w:bottom w:val="single" w:color="auto" w:sz="8" w:space="0"/>
              <w:right w:val="single" w:color="auto" w:sz="8" w:space="0"/>
            </w:tcBorders>
            <w:shd w:val="clear"/>
            <w:tcMar>
              <w:left w:w="108" w:type="dxa"/>
              <w:right w:w="108" w:type="dxa"/>
            </w:tcMar>
            <w:vAlign w:val="center"/>
          </w:tcPr>
          <w:p w14:paraId="46A3AE9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0</w:t>
            </w:r>
          </w:p>
        </w:tc>
        <w:tc>
          <w:tcPr>
            <w:tcW w:w="607" w:type="dxa"/>
            <w:tcBorders>
              <w:top w:val="nil"/>
              <w:left w:val="nil"/>
              <w:bottom w:val="single" w:color="auto" w:sz="8" w:space="0"/>
              <w:right w:val="single" w:color="auto" w:sz="8" w:space="0"/>
            </w:tcBorders>
            <w:shd w:val="clear"/>
            <w:tcMar>
              <w:left w:w="108" w:type="dxa"/>
              <w:right w:w="108" w:type="dxa"/>
            </w:tcMar>
            <w:vAlign w:val="center"/>
          </w:tcPr>
          <w:p w14:paraId="6221F7E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0</w:t>
            </w:r>
          </w:p>
        </w:tc>
        <w:tc>
          <w:tcPr>
            <w:tcW w:w="607" w:type="dxa"/>
            <w:tcBorders>
              <w:top w:val="nil"/>
              <w:left w:val="nil"/>
              <w:bottom w:val="single" w:color="auto" w:sz="8" w:space="0"/>
              <w:right w:val="single" w:color="auto" w:sz="8" w:space="0"/>
            </w:tcBorders>
            <w:shd w:val="clear"/>
            <w:tcMar>
              <w:left w:w="108" w:type="dxa"/>
              <w:right w:w="108" w:type="dxa"/>
            </w:tcMar>
            <w:vAlign w:val="center"/>
          </w:tcPr>
          <w:p w14:paraId="4CF40D5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0</w:t>
            </w:r>
          </w:p>
        </w:tc>
        <w:tc>
          <w:tcPr>
            <w:tcW w:w="607" w:type="dxa"/>
            <w:tcBorders>
              <w:top w:val="nil"/>
              <w:left w:val="nil"/>
              <w:bottom w:val="single" w:color="auto" w:sz="8" w:space="0"/>
              <w:right w:val="single" w:color="auto" w:sz="8" w:space="0"/>
            </w:tcBorders>
            <w:shd w:val="clear"/>
            <w:tcMar>
              <w:left w:w="108" w:type="dxa"/>
              <w:right w:w="108" w:type="dxa"/>
            </w:tcMar>
            <w:vAlign w:val="center"/>
          </w:tcPr>
          <w:p w14:paraId="696EB72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0</w:t>
            </w:r>
          </w:p>
        </w:tc>
        <w:tc>
          <w:tcPr>
            <w:tcW w:w="607" w:type="dxa"/>
            <w:tcBorders>
              <w:top w:val="nil"/>
              <w:left w:val="nil"/>
              <w:bottom w:val="single" w:color="auto" w:sz="8" w:space="0"/>
              <w:right w:val="single" w:color="auto" w:sz="8" w:space="0"/>
            </w:tcBorders>
            <w:shd w:val="clear"/>
            <w:tcMar>
              <w:left w:w="108" w:type="dxa"/>
              <w:right w:w="108" w:type="dxa"/>
            </w:tcMar>
            <w:vAlign w:val="center"/>
          </w:tcPr>
          <w:p w14:paraId="02C766F4">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0</w:t>
            </w:r>
          </w:p>
        </w:tc>
        <w:tc>
          <w:tcPr>
            <w:tcW w:w="607" w:type="dxa"/>
            <w:tcBorders>
              <w:top w:val="nil"/>
              <w:left w:val="nil"/>
              <w:bottom w:val="single" w:color="auto" w:sz="8" w:space="0"/>
              <w:right w:val="single" w:color="auto" w:sz="8" w:space="0"/>
            </w:tcBorders>
            <w:shd w:val="clear"/>
            <w:tcMar>
              <w:left w:w="108" w:type="dxa"/>
              <w:right w:w="108" w:type="dxa"/>
            </w:tcMar>
            <w:vAlign w:val="center"/>
          </w:tcPr>
          <w:p w14:paraId="3004612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bdr w:val="none" w:color="auto" w:sz="0" w:space="0"/>
                <w:lang w:val="en-US" w:eastAsia="zh-CN" w:bidi="ar"/>
              </w:rPr>
              <w:t>0</w:t>
            </w:r>
          </w:p>
        </w:tc>
      </w:tr>
    </w:tbl>
    <w:p w14:paraId="10707BBF">
      <w:pPr>
        <w:keepNext w:val="0"/>
        <w:keepLines w:val="0"/>
        <w:widowControl/>
        <w:suppressLineNumbers w:val="0"/>
        <w:spacing w:before="0" w:beforeAutospacing="0" w:after="0" w:afterAutospacing="0"/>
        <w:ind w:left="0" w:right="0" w:firstLine="482" w:firstLineChars="200"/>
        <w:jc w:val="left"/>
      </w:pPr>
      <w:r>
        <w:rPr>
          <w:rFonts w:hint="eastAsia" w:ascii="宋体" w:hAnsi="宋体" w:eastAsia="宋体" w:cs="宋体"/>
          <w:b/>
          <w:bCs/>
          <w:kern w:val="2"/>
          <w:sz w:val="24"/>
          <w:szCs w:val="24"/>
          <w:lang w:val="en-US" w:eastAsia="zh-CN" w:bidi="ar"/>
        </w:rPr>
        <w:t>五、存在的主要问题及改进情况</w:t>
      </w:r>
    </w:p>
    <w:p w14:paraId="7558E167">
      <w:pPr>
        <w:keepNext w:val="0"/>
        <w:keepLines w:val="0"/>
        <w:widowControl w:val="0"/>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（一）主要问题：一是政务公开工作能力有待加强，对政府信息公开尺度把握不够熟练；二是政府公开工作机制有待完善，特别是信息审查、内容把关和发布等流程需要进一步规范。</w:t>
      </w:r>
    </w:p>
    <w:p w14:paraId="68E84263">
      <w:pPr>
        <w:keepNext w:val="0"/>
        <w:keepLines w:val="0"/>
        <w:widowControl w:val="0"/>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二）改进情况：一是加强业务培训，组织开展政务公开工作人员培训学习，对公开政策、操作流程等内容进行深入学习，提高工作能力。二是提高政治站位，将政务公开工作纳入乡长办公会重要议程，定期调度、跟踪推进，健全内容审查、责任追究制度，将公开工作落到实处。</w:t>
      </w:r>
    </w:p>
    <w:p w14:paraId="4B229B15">
      <w:pPr>
        <w:keepNext w:val="0"/>
        <w:keepLines w:val="0"/>
        <w:widowControl/>
        <w:suppressLineNumbers w:val="0"/>
        <w:spacing w:before="0" w:beforeAutospacing="0" w:after="0" w:afterAutospacing="0"/>
        <w:ind w:left="0" w:right="0" w:firstLine="482" w:firstLineChars="200"/>
        <w:jc w:val="left"/>
      </w:pPr>
      <w:r>
        <w:rPr>
          <w:rFonts w:hint="eastAsia" w:ascii="宋体" w:hAnsi="宋体" w:eastAsia="宋体" w:cs="宋体"/>
          <w:b/>
          <w:bCs/>
          <w:kern w:val="2"/>
          <w:sz w:val="24"/>
          <w:szCs w:val="24"/>
          <w:lang w:val="en-US" w:eastAsia="zh-CN" w:bidi="ar"/>
        </w:rPr>
        <w:t>六、其他需要报告的事项</w:t>
      </w:r>
    </w:p>
    <w:p w14:paraId="6985001D">
      <w:pPr>
        <w:keepNext w:val="0"/>
        <w:keepLines w:val="0"/>
        <w:widowControl w:val="0"/>
        <w:suppressLineNumbers w:val="0"/>
        <w:autoSpaceDE w:val="0"/>
        <w:autoSpaceDN/>
        <w:spacing w:before="0" w:beforeAutospacing="0" w:after="0" w:afterAutospacing="0"/>
        <w:ind w:left="0" w:right="0" w:firstLine="480" w:firstLineChars="200"/>
        <w:jc w:val="left"/>
      </w:pPr>
      <w:r>
        <w:rPr>
          <w:rFonts w:hint="eastAsia" w:ascii="宋体" w:hAnsi="宋体" w:eastAsia="宋体" w:cs="宋体"/>
          <w:kern w:val="2"/>
          <w:sz w:val="24"/>
          <w:szCs w:val="24"/>
          <w:lang w:val="en-US" w:eastAsia="zh-CN" w:bidi="ar"/>
        </w:rPr>
        <w:t>濛江乡暂无其他应报告的事项。</w:t>
      </w:r>
    </w:p>
    <w:p w14:paraId="5A5A7DF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32D22"/>
    <w:rsid w:val="0D7D1F3D"/>
    <w:rsid w:val="0FC207D7"/>
    <w:rsid w:val="2BDD7D81"/>
    <w:rsid w:val="42321EFD"/>
    <w:rsid w:val="46D07F9B"/>
    <w:rsid w:val="6FF17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2025-12-09T06:52:00Z</dcterms:created>
  <dc:creator>Administrator</dc:creator>
  <cp:lastModifiedBy>7.</cp:lastModifiedBy>
  <cp:lastPrinted>2026-01-05T00:53:20Z</cp:lastPrinted>
  <dcterms:modified xsi:type="dcterms:W3CDTF">2026-01-05T06:52:53Z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eyJoZGlkIjoiMjJmNjJjNmRlZTUwMzk3MDFkNDcyMjYwMjEzOTJiMzUiLCJ1c2VySWQiOiIzNTQxMjQyODQifQ==</vt:lpwstr>
  </property>
  <property fmtid="{D5CDD505-2E9C-101B-9397-08002B2CF9AE}" pid="4" name="ICV">
    <vt:lpwstr>7602E44443B14685A817EF4D77EB9E9E_12</vt:lpwstr>
  </property>
</Properties>
</file>