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53BA1">
      <w:pPr>
        <w:rPr>
          <w:rFonts w:hint="default"/>
          <w:lang w:val="en-US" w:eastAsia="zh-CN"/>
        </w:rPr>
      </w:pPr>
    </w:p>
    <w:p w14:paraId="13EF5CA6">
      <w:pPr>
        <w:rPr>
          <w:rFonts w:hint="default"/>
          <w:lang w:val="en-US" w:eastAsia="zh-CN"/>
        </w:rPr>
      </w:pPr>
    </w:p>
    <w:p w14:paraId="456E4A33">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2"/>
          <w:sz w:val="36"/>
          <w:szCs w:val="36"/>
          <w:lang w:val="en-US" w:eastAsia="zh-CN" w:bidi="ar"/>
        </w:rPr>
        <w:t>濛江乡2025年度</w:t>
      </w:r>
    </w:p>
    <w:p w14:paraId="7B2EB665">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2"/>
          <w:sz w:val="36"/>
          <w:szCs w:val="36"/>
          <w:lang w:val="en-US" w:eastAsia="zh-CN" w:bidi="ar"/>
        </w:rPr>
        <w:t>政府信息公开工作年度报告</w:t>
      </w:r>
    </w:p>
    <w:p w14:paraId="68E9901E">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根据《中华人民共和国政府信息公开条例》规定，现公布吉林省白山市靖宇县濛江乡2025年度政府信息公开工作年度报告。本报告由“总体情况”、“主动公开政府信息情况”、“收到和处理</w:t>
      </w:r>
      <w:bookmarkStart w:id="0" w:name="_GoBack"/>
      <w:bookmarkEnd w:id="0"/>
      <w:r>
        <w:rPr>
          <w:rFonts w:hint="eastAsia" w:ascii="宋体" w:hAnsi="宋体" w:eastAsia="宋体" w:cs="宋体"/>
          <w:kern w:val="2"/>
          <w:sz w:val="24"/>
          <w:szCs w:val="24"/>
          <w:lang w:val="en-US" w:eastAsia="zh-CN" w:bidi="ar"/>
        </w:rPr>
        <w:t>政府信息公开申请情况”、“因政府信息公开工作被申请行政复议、提起行政诉讼情况”、“政府信息公开工作存在的主要问题及改进情况”、“其他需要报告的事项”六个部分组成。所列数据截止日期为2025年12月30日，电子文本可在吉林省靖宇县人民政府门户网站政府信息公开专栏查询。吉林省靖宇县濛江乡人民政府联系方式，电话：0439-7915077，邮编135200。地址：吉林省白山市靖宇县将军路1号。</w:t>
      </w:r>
    </w:p>
    <w:p w14:paraId="131A0737">
      <w:pPr>
        <w:keepNext w:val="0"/>
        <w:keepLines w:val="0"/>
        <w:widowControl w:val="0"/>
        <w:suppressLineNumbers w:val="0"/>
        <w:autoSpaceDE w:val="0"/>
        <w:autoSpaceDN/>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一、总体情况</w:t>
      </w:r>
    </w:p>
    <w:p w14:paraId="53C59C75">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2025年濛江乡按照“公开为常态、不公开为例外”的原则认真做好政务公开工作，不断促进全乡政务公开工作向科学化、专业化、制度化、规范化发展，确保了及时准确上传政策文件、工作进展，及时回应群众关注的热点问题，主动引导、积极宣传，保障了群众知情权、参与权和监督权。</w:t>
      </w:r>
    </w:p>
    <w:p w14:paraId="0F2BBBC8">
      <w:pPr>
        <w:keepNext w:val="0"/>
        <w:keepLines w:val="0"/>
        <w:widowControl w:val="0"/>
        <w:numPr>
          <w:ilvl w:val="0"/>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一）组织推动全乡政府信息公开工作。一是建立组织机制，加强协调领导。成立了政府乡长为组长、各站所负责人为成员的政务公开工作领导小组，确定1名工作人员负责日常具体工作；完善了政务公开信息审查、报送、发布机制，强化公开工作的规范化管理。全乡形成“一级抓一级、层层抓落实”的工作管理格局。二是建立运行机制，推进良性运转。分别建立主动公开和依申请公开工作机制。主动公开工作机制明确规定了主动公开的政府信息内容，同时建立信息采编管理规范和动态更新维护机制，保证公开信息的质量和更新速度。依申请公开工作机制既建立了受理机制，还明确了具体操作规范、受理时限和答复要求，更加突出了便民、利民的原则。三是建立工作机制，强化常态管理。普遍制定并严格执行制度，推动政府信息公开工作依法、有序开展。</w:t>
      </w:r>
    </w:p>
    <w:p w14:paraId="7360EFB0">
      <w:pPr>
        <w:keepNext w:val="0"/>
        <w:keepLines w:val="0"/>
        <w:widowControl w:val="0"/>
        <w:numPr>
          <w:ilvl w:val="0"/>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（二）积极推动政府信息主动公开。濛江乡2025年主动</w:t>
      </w:r>
      <w:r>
        <w:rPr>
          <w:rFonts w:hint="eastAsia" w:ascii="宋体" w:hAnsi="宋体" w:eastAsia="宋体" w:cs="宋体"/>
          <w:kern w:val="2"/>
          <w:sz w:val="24"/>
          <w:szCs w:val="24"/>
          <w:highlight w:val="none"/>
          <w:lang w:val="en-US" w:eastAsia="zh-CN" w:bidi="ar"/>
        </w:rPr>
        <w:t>公开政府信息13</w:t>
      </w:r>
      <w:r>
        <w:rPr>
          <w:rFonts w:hint="eastAsia" w:ascii="宋体" w:hAnsi="宋体" w:eastAsia="宋体" w:cs="宋体"/>
          <w:kern w:val="2"/>
          <w:sz w:val="24"/>
          <w:szCs w:val="24"/>
          <w:lang w:val="en-US" w:eastAsia="zh-CN" w:bidi="ar"/>
        </w:rPr>
        <w:t>条，无因政府信息公开申请行政复议、提起行政诉讼情况。</w:t>
      </w:r>
    </w:p>
    <w:p w14:paraId="51272868">
      <w:pPr>
        <w:keepNext w:val="0"/>
        <w:keepLines w:val="0"/>
        <w:widowControl w:val="0"/>
        <w:numPr>
          <w:ilvl w:val="0"/>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（三）认真规范处理依申请公开。2025年以来，濛江乡未收到依申请公开事项。</w:t>
      </w:r>
    </w:p>
    <w:p w14:paraId="7E1285FD">
      <w:pPr>
        <w:keepNext w:val="0"/>
        <w:keepLines w:val="0"/>
        <w:widowControl w:val="0"/>
        <w:numPr>
          <w:ilvl w:val="0"/>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四）不断强化政府信息公开平台内容保障。2025年在进一步坚持和完善通用载体的基础上，进一步提高政府信息公开质量，积极推进一般事项公开向重点事项公开、结果公开向全过程公开的工作转变，公开的内容更加充实，公开的时间更加及时，公开重点更加突出。进一步完善政府信息公开制度和相关措施，严格按照《中华人民共和国政府信息公开条例》办事，进一步增强依法公开，主动公开意识，搞好政府信息公开评议，提高政府信息公开水平；加强督促检查，规范管理政府信息公开资料，进一步完善细化政府信息公开目录和内容，增强政府信息公开工作的针对性，做到以公开促廉政，以公开树形象，推动全乡各项中心工作任务的圆满完成。</w:t>
      </w:r>
    </w:p>
    <w:p w14:paraId="4BBD94D9">
      <w:pPr>
        <w:keepNext w:val="0"/>
        <w:keepLines w:val="0"/>
        <w:widowControl w:val="0"/>
        <w:numPr>
          <w:ilvl w:val="0"/>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五）全力做好宣传培训评估考核等基础工作。濛江乡全体机关干部结合各自实际，认真做好《条例》的学习工作，乡班子成员充分发挥示范引领作用，带头学习，率先垂范，全面领会《条例》的基本精神和主要内容，切实增强公开意识。灵活采取科室学习、个人自学、重点解读、逐条学习等方式，抓好学习落实。在全乡上下营造学习全员化、宣传全渠道的浓厚氛围。通过举办培训班或交流研讨会等形式，对从事政务公开工作人员开展培训和积极参加县里开展的各种学习培训，支持政务公开人员接受与工作有关的法律、新闻、信息化、网络等方面的继续教育。统筹协调，紧密联系实际，全面提升政务公开和政务服务水平。通过政务大厅窗口摆放宣传材料等多种方式开展宣传。</w:t>
      </w:r>
    </w:p>
    <w:p w14:paraId="2A259D53">
      <w:pPr>
        <w:keepNext w:val="0"/>
        <w:keepLines w:val="0"/>
        <w:widowControl/>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二、主动公开政府信息情况</w:t>
      </w:r>
    </w:p>
    <w:tbl>
      <w:tblPr>
        <w:tblStyle w:val="2"/>
        <w:tblW w:w="9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61"/>
        <w:gridCol w:w="2184"/>
        <w:gridCol w:w="2184"/>
        <w:gridCol w:w="2185"/>
      </w:tblGrid>
      <w:tr w14:paraId="60C7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22878FEB">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1D7F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C8D2A5C">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184"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3F2153F9">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本年制发件数</w:t>
            </w:r>
          </w:p>
        </w:tc>
        <w:tc>
          <w:tcPr>
            <w:tcW w:w="21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6FC534">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1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53D9607">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现行有效件数</w:t>
            </w:r>
          </w:p>
        </w:tc>
      </w:tr>
      <w:tr w14:paraId="508D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52EA33C">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规章</w:t>
            </w:r>
          </w:p>
        </w:tc>
        <w:tc>
          <w:tcPr>
            <w:tcW w:w="2184"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16A989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2184" w:type="dxa"/>
            <w:tcBorders>
              <w:top w:val="nil"/>
              <w:left w:val="nil"/>
              <w:bottom w:val="single" w:color="auto" w:sz="8" w:space="0"/>
              <w:right w:val="single" w:color="auto" w:sz="8" w:space="0"/>
            </w:tcBorders>
            <w:shd w:val="clear" w:color="auto" w:fill="auto"/>
            <w:tcMar>
              <w:left w:w="108" w:type="dxa"/>
              <w:right w:w="108" w:type="dxa"/>
            </w:tcMar>
            <w:vAlign w:val="center"/>
          </w:tcPr>
          <w:p w14:paraId="4C36AAF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21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229413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72FC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B3A8EA1">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行政规范性文件</w:t>
            </w:r>
          </w:p>
        </w:tc>
        <w:tc>
          <w:tcPr>
            <w:tcW w:w="2184"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9E0662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2184" w:type="dxa"/>
            <w:tcBorders>
              <w:top w:val="nil"/>
              <w:left w:val="nil"/>
              <w:bottom w:val="single" w:color="auto" w:sz="8" w:space="0"/>
              <w:right w:val="single" w:color="auto" w:sz="8" w:space="0"/>
            </w:tcBorders>
            <w:shd w:val="clear" w:color="auto" w:fill="auto"/>
            <w:tcMar>
              <w:left w:w="108" w:type="dxa"/>
              <w:right w:w="108" w:type="dxa"/>
            </w:tcMar>
            <w:vAlign w:val="center"/>
          </w:tcPr>
          <w:p w14:paraId="7D63177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21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75D81B1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546D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0C656713">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5B41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A390CCE">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553"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69E87F3B">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6E45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492AB52">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行政许可</w:t>
            </w:r>
          </w:p>
        </w:tc>
        <w:tc>
          <w:tcPr>
            <w:tcW w:w="6553"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14:paraId="24060FB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52D0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30539DC3">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7628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4F10094">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553"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5229F364">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5882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769FA76">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行政处罚</w:t>
            </w:r>
          </w:p>
        </w:tc>
        <w:tc>
          <w:tcPr>
            <w:tcW w:w="6553"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14:paraId="0DB907F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7AD9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D574B04">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行政强制</w:t>
            </w:r>
          </w:p>
        </w:tc>
        <w:tc>
          <w:tcPr>
            <w:tcW w:w="6553"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14:paraId="59E4AB6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52D9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43C9C497">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2EC9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4BB97AA">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553"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14:paraId="1E81AB41">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503B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37CA78B">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行政事业性收费</w:t>
            </w:r>
          </w:p>
        </w:tc>
        <w:tc>
          <w:tcPr>
            <w:tcW w:w="6553"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14:paraId="70E161E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bl>
    <w:p w14:paraId="08BCF1DA">
      <w:pPr>
        <w:keepNext w:val="0"/>
        <w:keepLines w:val="0"/>
        <w:widowControl/>
        <w:numPr>
          <w:ilvl w:val="0"/>
          <w:numId w:val="0"/>
        </w:numPr>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三、收到和处理政府信息公开申请情况</w:t>
      </w:r>
    </w:p>
    <w:tbl>
      <w:tblPr>
        <w:tblStyle w:val="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14:paraId="24DE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jc w:val="center"/>
        </w:trPr>
        <w:tc>
          <w:tcPr>
            <w:tcW w:w="411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3EB8E6">
            <w:pPr>
              <w:keepNext w:val="0"/>
              <w:keepLines w:val="0"/>
              <w:widowControl/>
              <w:suppressLineNumbers w:val="0"/>
              <w:spacing w:before="0" w:beforeAutospacing="0" w:after="0" w:afterAutospacing="0"/>
              <w:ind w:left="0" w:right="0"/>
              <w:jc w:val="center"/>
            </w:pPr>
            <w:r>
              <w:rPr>
                <w:rFonts w:ascii="楷体" w:hAnsi="楷体" w:eastAsia="楷体" w:cs="楷体"/>
                <w:kern w:val="0"/>
                <w:sz w:val="20"/>
                <w:szCs w:val="20"/>
                <w:lang w:val="en-US" w:eastAsia="zh-CN" w:bidi="ar"/>
              </w:rPr>
              <w:t>（本列数据的勾稽关系为：第一项加第二项之和，等于第三项加第四项之和）</w:t>
            </w:r>
          </w:p>
        </w:tc>
        <w:tc>
          <w:tcPr>
            <w:tcW w:w="48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DFD716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4CDC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D3B34">
            <w:pPr>
              <w:rPr>
                <w:rFonts w:hint="eastAsia" w:ascii="宋体" w:hAnsi="宋体" w:eastAsia="宋体" w:cs="宋体"/>
                <w:sz w:val="24"/>
                <w:szCs w:val="24"/>
              </w:rPr>
            </w:pPr>
          </w:p>
        </w:tc>
        <w:tc>
          <w:tcPr>
            <w:tcW w:w="685" w:type="dxa"/>
            <w:vMerge w:val="restart"/>
            <w:tcBorders>
              <w:top w:val="nil"/>
              <w:left w:val="single" w:color="auto" w:sz="4" w:space="0"/>
              <w:bottom w:val="single" w:color="auto" w:sz="4" w:space="0"/>
              <w:right w:val="single" w:color="auto" w:sz="4" w:space="0"/>
            </w:tcBorders>
            <w:shd w:val="clear" w:color="auto" w:fill="auto"/>
            <w:vAlign w:val="center"/>
          </w:tcPr>
          <w:p w14:paraId="405B12F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7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74765E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CD2DD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920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72329">
            <w:pPr>
              <w:rPr>
                <w:rFonts w:hint="eastAsia" w:ascii="宋体" w:hAnsi="宋体" w:eastAsia="宋体" w:cs="宋体"/>
                <w:sz w:val="24"/>
                <w:szCs w:val="24"/>
              </w:rPr>
            </w:pPr>
          </w:p>
        </w:tc>
        <w:tc>
          <w:tcPr>
            <w:tcW w:w="685" w:type="dxa"/>
            <w:vMerge w:val="continue"/>
            <w:tcBorders>
              <w:top w:val="nil"/>
              <w:left w:val="single" w:color="auto" w:sz="4" w:space="0"/>
              <w:bottom w:val="single" w:color="auto" w:sz="4" w:space="0"/>
              <w:right w:val="single" w:color="auto" w:sz="4" w:space="0"/>
            </w:tcBorders>
            <w:shd w:val="clear" w:color="auto" w:fill="auto"/>
            <w:vAlign w:val="center"/>
          </w:tcPr>
          <w:p w14:paraId="3A3CAFA5">
            <w:pPr>
              <w:rPr>
                <w:rFonts w:hint="eastAsia" w:ascii="宋体" w:hAnsi="宋体" w:eastAsia="宋体" w:cs="宋体"/>
                <w:sz w:val="24"/>
                <w:szCs w:val="24"/>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4FF83A3">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商业企业</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C54983D">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科研机构</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3DEF618F">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社会公益组织</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1CA18B8E">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法律服务机构</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F029D7C">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其他</w:t>
            </w: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CDDCD">
            <w:pPr>
              <w:rPr>
                <w:rFonts w:hint="eastAsia" w:ascii="宋体" w:hAnsi="宋体" w:eastAsia="宋体" w:cs="宋体"/>
                <w:sz w:val="24"/>
                <w:szCs w:val="24"/>
              </w:rPr>
            </w:pPr>
          </w:p>
        </w:tc>
      </w:tr>
      <w:tr w14:paraId="4185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388394">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一、本年新收政府信息公开申请数量</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05B24F8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0792104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72D7C68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16BC73F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75A0272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4B37879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56C7E80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015E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38D97B">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二、上年结转政府信息公开申请数量</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FB76DC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6AD045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4B5CEEA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09F6826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1144732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3B0F179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1E1D032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4037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restart"/>
            <w:tcBorders>
              <w:top w:val="nil"/>
              <w:left w:val="single" w:color="auto" w:sz="4" w:space="0"/>
              <w:bottom w:val="single" w:color="auto" w:sz="4" w:space="0"/>
              <w:right w:val="single" w:color="auto" w:sz="4" w:space="0"/>
            </w:tcBorders>
            <w:shd w:val="clear" w:color="auto" w:fill="auto"/>
            <w:vAlign w:val="center"/>
          </w:tcPr>
          <w:p w14:paraId="13216953">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1B1246DE">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76D0ADAD">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76497119">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342C3FDB">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4A898347">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05EB872A">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572E695C">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792ABE1E">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5F56ABB7">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1CF9864C">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5EC93CBF">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25AC244A">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 </w:t>
            </w:r>
          </w:p>
          <w:p w14:paraId="331F4A94">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lang w:val="en-US" w:eastAsia="zh-CN" w:bidi="ar"/>
              </w:rPr>
              <w:t>三、本年度办理结果</w:t>
            </w:r>
          </w:p>
        </w:tc>
        <w:tc>
          <w:tcPr>
            <w:tcW w:w="34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3F4CB7">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（一）予以公开</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7A6CA02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660BE2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7D3F61A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07D5B55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26F4CAF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B25129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37E4E63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44F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663C54F7">
            <w:pPr>
              <w:rPr>
                <w:rFonts w:hint="eastAsia" w:ascii="宋体" w:hAnsi="宋体" w:eastAsia="宋体" w:cs="宋体"/>
                <w:sz w:val="24"/>
                <w:szCs w:val="24"/>
              </w:rPr>
            </w:pPr>
          </w:p>
        </w:tc>
        <w:tc>
          <w:tcPr>
            <w:tcW w:w="34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4F06B5">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（二）部分公开（区分处理的，只计这一情形，不计其他情形）</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2A146EB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6A554FB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453BF40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229104B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63F8EEA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14F95A6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78AB817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2A7E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551FD05C">
            <w:pPr>
              <w:rPr>
                <w:rFonts w:hint="eastAsia" w:ascii="宋体" w:hAnsi="宋体" w:eastAsia="宋体" w:cs="宋体"/>
                <w:sz w:val="24"/>
                <w:szCs w:val="24"/>
              </w:rPr>
            </w:pPr>
          </w:p>
        </w:tc>
        <w:tc>
          <w:tcPr>
            <w:tcW w:w="815" w:type="dxa"/>
            <w:vMerge w:val="restart"/>
            <w:tcBorders>
              <w:top w:val="nil"/>
              <w:left w:val="single" w:color="auto" w:sz="4" w:space="0"/>
              <w:bottom w:val="single" w:color="auto" w:sz="4" w:space="0"/>
              <w:right w:val="single" w:color="auto" w:sz="4" w:space="0"/>
            </w:tcBorders>
            <w:shd w:val="clear" w:color="auto" w:fill="auto"/>
            <w:vAlign w:val="center"/>
          </w:tcPr>
          <w:p w14:paraId="40E90C2C">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（三）不予公开</w:t>
            </w: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276CA9D4">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1.属于国家秘密</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3950D15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3E52F8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150398F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245CE4C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58C9F35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73675F4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686227A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55CB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4BCD1FBD">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08BA249B">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5157495C">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2.其他法律行政法规禁止公开</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10C3B8C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37AFB03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6948F15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6EEA64E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6B49310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22D8966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2BC0E95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0351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6FC15037">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20D0321E">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1B3862A4">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3.危及“三安全一稳定”</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30655AB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3468D14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69208E1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6648438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019D098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56B1A28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066C735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4378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3CAFD6B1">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2305C33B">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392FF86D">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4.保护第三方合法权益</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2C8556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ED74D4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7451F5A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2C5D6E2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5CEC724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0AD6046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6B666DB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7B89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37FF1816">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0EDB0D9F">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6D437C8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5.属于三类内部事务信息</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4B8E67F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4C042D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626722C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385981E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6C771A6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1449161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7985818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69FD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757A2B50">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1BBE886F">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71C9EF7D">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6.属于四类过程性信息</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3BBD6C5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37CB71C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525B540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272B94C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1A8844F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4B4815E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347328D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71E2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578AAC14">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2506F31E">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5EBD235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7.属于行政执法案卷</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2E54268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DCE72E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0A89FC7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5043952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5E5CCC9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512677C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0D4F511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2031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214F67A4">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2C7C5B2B">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36827A31">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8.属于行政查询事项</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F19231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3E40D91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73BE7AB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006837E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55AFFD6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274A6A8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4D1D279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081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2F134423">
            <w:pPr>
              <w:rPr>
                <w:rFonts w:hint="eastAsia" w:ascii="宋体" w:hAnsi="宋体" w:eastAsia="宋体" w:cs="宋体"/>
                <w:sz w:val="24"/>
                <w:szCs w:val="24"/>
              </w:rPr>
            </w:pPr>
          </w:p>
        </w:tc>
        <w:tc>
          <w:tcPr>
            <w:tcW w:w="815" w:type="dxa"/>
            <w:vMerge w:val="restart"/>
            <w:tcBorders>
              <w:top w:val="nil"/>
              <w:left w:val="single" w:color="auto" w:sz="4" w:space="0"/>
              <w:bottom w:val="single" w:color="auto" w:sz="4" w:space="0"/>
              <w:right w:val="single" w:color="auto" w:sz="4" w:space="0"/>
            </w:tcBorders>
            <w:shd w:val="clear" w:color="auto" w:fill="auto"/>
            <w:vAlign w:val="center"/>
          </w:tcPr>
          <w:p w14:paraId="2DE5CEBB">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（四）无法提供</w:t>
            </w: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477B2514">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1.本机关不掌握相关政府信息</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D241D9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6915156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6C6EF1F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2D7B49A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43F0A2D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02C9CE2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379109A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0657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372AD18C">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36E5ADD0">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451719BD">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2.没有现成信息需要另行制作</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7F75E8B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978CD3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317A7B5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348880B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117533B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99FD86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723C13A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34E8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4A79180C">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74053068">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163B4C4F">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3.补正后申请内容仍不明确</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CEF4B0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DF7DEF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4B8F0A3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130B250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0743AA4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228D9D1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6D88D48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48E8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7A4E8004">
            <w:pPr>
              <w:rPr>
                <w:rFonts w:hint="eastAsia" w:ascii="宋体" w:hAnsi="宋体" w:eastAsia="宋体" w:cs="宋体"/>
                <w:sz w:val="24"/>
                <w:szCs w:val="24"/>
              </w:rPr>
            </w:pPr>
          </w:p>
        </w:tc>
        <w:tc>
          <w:tcPr>
            <w:tcW w:w="815" w:type="dxa"/>
            <w:vMerge w:val="restart"/>
            <w:tcBorders>
              <w:top w:val="nil"/>
              <w:left w:val="single" w:color="auto" w:sz="4" w:space="0"/>
              <w:bottom w:val="single" w:color="auto" w:sz="4" w:space="0"/>
              <w:right w:val="single" w:color="auto" w:sz="4" w:space="0"/>
            </w:tcBorders>
            <w:shd w:val="clear" w:color="auto" w:fill="auto"/>
            <w:vAlign w:val="center"/>
          </w:tcPr>
          <w:p w14:paraId="57EE94A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（五）不予处理</w:t>
            </w: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618832A7">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1.信访举报投诉类申请</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55F933E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3265C13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55D5D9F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0C5A7E3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7F61274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3A62DD5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34F6E07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4565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14BF9C26">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2FD43E09">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1A170995">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2.重复申请</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4A131EA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6382607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62E1D51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175CA26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17A79BF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5DF9367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62BBDB7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6962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633436C8">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4244A935">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3E376BEA">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3.要求提供公开出版物</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4043B7C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3073C55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4C7FAE1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29F6284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619CD30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372756E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1E123A3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7FE9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7B7E93B1">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16B4DF7D">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2906B7E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4.无正当理由大量反复申请</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2CAD1E3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B2B849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51391CC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7C0465D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04076E4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2FBAD6A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5FF50F4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1FD3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643B09BA">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450CA10F">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058E3297">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5.要求行政机关确认或重新出具已获取信息</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783886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6EFC0AD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4A600B0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27E93B7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678EBBE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3C53E75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62FD69B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2D8E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1E93CF9E">
            <w:pPr>
              <w:rPr>
                <w:rFonts w:hint="eastAsia" w:ascii="宋体" w:hAnsi="宋体" w:eastAsia="宋体" w:cs="宋体"/>
                <w:sz w:val="24"/>
                <w:szCs w:val="24"/>
              </w:rPr>
            </w:pPr>
          </w:p>
        </w:tc>
        <w:tc>
          <w:tcPr>
            <w:tcW w:w="815" w:type="dxa"/>
            <w:vMerge w:val="restart"/>
            <w:tcBorders>
              <w:top w:val="nil"/>
              <w:left w:val="single" w:color="auto" w:sz="4" w:space="0"/>
              <w:bottom w:val="single" w:color="auto" w:sz="4" w:space="0"/>
              <w:right w:val="single" w:color="auto" w:sz="4" w:space="0"/>
            </w:tcBorders>
            <w:shd w:val="clear" w:color="auto" w:fill="auto"/>
            <w:vAlign w:val="center"/>
          </w:tcPr>
          <w:p w14:paraId="673F41CB">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（六）其他处理</w:t>
            </w: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7E508438">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1.申请人无正当理由逾期不补正、行政机关不再处理其政府信息公开申请</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1866141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8E6F47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10B521A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12797AF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19D90F0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749AC69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4F7C07C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0612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10E4FB6A">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58584C8E">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062BF00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2.申请人逾期未按收费通知要求缴纳费用、行政机关不再处理其政府信息公开申请</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15D63F3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697301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2FBF4AD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3AF132F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28EC494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1D7273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0D96427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3D42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45D1DCCF">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color="auto" w:fill="auto"/>
            <w:vAlign w:val="center"/>
          </w:tcPr>
          <w:p w14:paraId="11651AC1">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14:paraId="20D1DEBB">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3.其他</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5EFB08A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9B32E4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1526D1E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528B186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2A82F7D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C892ED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12F6DB9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0797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3" w:type="dxa"/>
            <w:vMerge w:val="continue"/>
            <w:tcBorders>
              <w:top w:val="nil"/>
              <w:left w:val="single" w:color="auto" w:sz="4" w:space="0"/>
              <w:bottom w:val="single" w:color="auto" w:sz="4" w:space="0"/>
              <w:right w:val="single" w:color="auto" w:sz="4" w:space="0"/>
            </w:tcBorders>
            <w:shd w:val="clear" w:color="auto" w:fill="auto"/>
            <w:vAlign w:val="center"/>
          </w:tcPr>
          <w:p w14:paraId="102AEF11">
            <w:pPr>
              <w:rPr>
                <w:rFonts w:hint="eastAsia" w:ascii="宋体" w:hAnsi="宋体" w:eastAsia="宋体" w:cs="宋体"/>
                <w:sz w:val="24"/>
                <w:szCs w:val="24"/>
              </w:rPr>
            </w:pPr>
          </w:p>
        </w:tc>
        <w:tc>
          <w:tcPr>
            <w:tcW w:w="34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7C598">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lang w:val="en-US" w:eastAsia="zh-CN" w:bidi="ar"/>
              </w:rPr>
              <w:t>（七）总计</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6E2571C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F8A9E1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6E64D98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187E364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108D0FE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4664C50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4EA00E2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14:paraId="2AD4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2E43DF">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0830D3F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18B1AD8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top"/>
          </w:tcPr>
          <w:p w14:paraId="7826BA0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4FFA664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45A9A53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color="auto" w:fill="auto"/>
            <w:vAlign w:val="top"/>
          </w:tcPr>
          <w:p w14:paraId="433CDB6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color="auto" w:fill="auto"/>
            <w:vAlign w:val="top"/>
          </w:tcPr>
          <w:p w14:paraId="7E56E69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bl>
    <w:p w14:paraId="2EBB88D4">
      <w:pPr>
        <w:keepNext w:val="0"/>
        <w:keepLines w:val="0"/>
        <w:widowControl/>
        <w:numPr>
          <w:ilvl w:val="0"/>
          <w:numId w:val="0"/>
        </w:numPr>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四、政府信息公开行政复议、行政诉讼情况</w:t>
      </w:r>
    </w:p>
    <w:tbl>
      <w:tblPr>
        <w:tblStyle w:val="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14:paraId="79DB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02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13628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行政复议</w:t>
            </w:r>
          </w:p>
        </w:tc>
        <w:tc>
          <w:tcPr>
            <w:tcW w:w="604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B4F7A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行政诉讼</w:t>
            </w:r>
          </w:p>
        </w:tc>
      </w:tr>
      <w:tr w14:paraId="0265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F11E2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结果维持</w:t>
            </w:r>
          </w:p>
        </w:tc>
        <w:tc>
          <w:tcPr>
            <w:tcW w:w="5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2CF9DA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E779D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其他结果</w:t>
            </w:r>
          </w:p>
        </w:tc>
        <w:tc>
          <w:tcPr>
            <w:tcW w:w="61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AE06D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尚未审结</w:t>
            </w:r>
          </w:p>
        </w:tc>
        <w:tc>
          <w:tcPr>
            <w:tcW w:w="60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DF99F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总计</w:t>
            </w:r>
          </w:p>
        </w:tc>
        <w:tc>
          <w:tcPr>
            <w:tcW w:w="3042"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27FE8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未经复议直接起诉</w:t>
            </w:r>
          </w:p>
        </w:tc>
        <w:tc>
          <w:tcPr>
            <w:tcW w:w="30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8B37C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复议后起诉</w:t>
            </w:r>
          </w:p>
        </w:tc>
      </w:tr>
      <w:tr w14:paraId="20B3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583D73">
            <w:pPr>
              <w:rPr>
                <w:rFonts w:hint="eastAsia" w:ascii="宋体" w:hAnsi="宋体" w:eastAsia="宋体" w:cs="宋体"/>
                <w:sz w:val="24"/>
                <w:szCs w:val="24"/>
              </w:rPr>
            </w:pPr>
          </w:p>
        </w:tc>
        <w:tc>
          <w:tcPr>
            <w:tcW w:w="5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0A1CAAC">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DC7068">
            <w:pPr>
              <w:rPr>
                <w:rFonts w:hint="eastAsia" w:ascii="宋体" w:hAnsi="宋体" w:eastAsia="宋体" w:cs="宋体"/>
                <w:sz w:val="24"/>
                <w:szCs w:val="24"/>
              </w:rPr>
            </w:pPr>
          </w:p>
        </w:tc>
        <w:tc>
          <w:tcPr>
            <w:tcW w:w="61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CAB596">
            <w:pPr>
              <w:rPr>
                <w:rFonts w:hint="eastAsia" w:ascii="宋体" w:hAnsi="宋体" w:eastAsia="宋体" w:cs="宋体"/>
                <w:sz w:val="24"/>
                <w:szCs w:val="24"/>
              </w:rPr>
            </w:pPr>
          </w:p>
        </w:tc>
        <w:tc>
          <w:tcPr>
            <w:tcW w:w="60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40FE42">
            <w:pPr>
              <w:rPr>
                <w:rFonts w:hint="eastAsia" w:ascii="宋体" w:hAnsi="宋体" w:eastAsia="宋体" w:cs="宋体"/>
                <w:sz w:val="24"/>
                <w:szCs w:val="24"/>
              </w:rPr>
            </w:pPr>
          </w:p>
        </w:tc>
        <w:tc>
          <w:tcPr>
            <w:tcW w:w="637" w:type="dxa"/>
            <w:tcBorders>
              <w:top w:val="nil"/>
              <w:left w:val="nil"/>
              <w:bottom w:val="single" w:color="auto" w:sz="8" w:space="0"/>
              <w:right w:val="single" w:color="auto" w:sz="8" w:space="0"/>
            </w:tcBorders>
            <w:shd w:val="clear" w:color="auto" w:fill="auto"/>
            <w:tcMar>
              <w:left w:w="108" w:type="dxa"/>
              <w:right w:w="108" w:type="dxa"/>
            </w:tcMar>
            <w:vAlign w:val="center"/>
          </w:tcPr>
          <w:p w14:paraId="285E301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结果维持</w:t>
            </w:r>
          </w:p>
        </w:tc>
        <w:tc>
          <w:tcPr>
            <w:tcW w:w="593" w:type="dxa"/>
            <w:tcBorders>
              <w:top w:val="nil"/>
              <w:left w:val="nil"/>
              <w:bottom w:val="single" w:color="auto" w:sz="8" w:space="0"/>
              <w:right w:val="single" w:color="auto" w:sz="8" w:space="0"/>
            </w:tcBorders>
            <w:shd w:val="clear" w:color="auto" w:fill="auto"/>
            <w:tcMar>
              <w:left w:w="108" w:type="dxa"/>
              <w:right w:w="108" w:type="dxa"/>
            </w:tcMar>
            <w:vAlign w:val="center"/>
          </w:tcPr>
          <w:p w14:paraId="0E1D5AF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结果纠正</w:t>
            </w:r>
          </w:p>
        </w:tc>
        <w:tc>
          <w:tcPr>
            <w:tcW w:w="5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AF64D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其他结果</w:t>
            </w:r>
          </w:p>
        </w:tc>
        <w:tc>
          <w:tcPr>
            <w:tcW w:w="62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2FC5F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尚未审结</w:t>
            </w:r>
          </w:p>
        </w:tc>
        <w:tc>
          <w:tcPr>
            <w:tcW w:w="5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1718B3">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18"/>
                <w:szCs w:val="18"/>
                <w:lang w:val="en-US" w:eastAsia="zh-CN" w:bidi="ar"/>
              </w:rPr>
              <w:t>总计</w:t>
            </w:r>
          </w:p>
        </w:tc>
        <w:tc>
          <w:tcPr>
            <w:tcW w:w="58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AC101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结果维持</w:t>
            </w:r>
          </w:p>
        </w:tc>
        <w:tc>
          <w:tcPr>
            <w:tcW w:w="6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819E4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结果纠正</w:t>
            </w:r>
          </w:p>
        </w:tc>
        <w:tc>
          <w:tcPr>
            <w:tcW w:w="6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4CD1CF">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18"/>
                <w:szCs w:val="18"/>
                <w:lang w:val="en-US" w:eastAsia="zh-CN" w:bidi="ar"/>
              </w:rPr>
              <w:t>其他结果</w:t>
            </w:r>
          </w:p>
        </w:tc>
        <w:tc>
          <w:tcPr>
            <w:tcW w:w="58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94A65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尚未审结</w:t>
            </w:r>
          </w:p>
        </w:tc>
        <w:tc>
          <w:tcPr>
            <w:tcW w:w="62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6EF4E2">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18"/>
                <w:szCs w:val="18"/>
                <w:lang w:val="en-US" w:eastAsia="zh-CN" w:bidi="ar"/>
              </w:rPr>
              <w:t>总计</w:t>
            </w:r>
          </w:p>
        </w:tc>
      </w:tr>
      <w:tr w14:paraId="6482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jc w:val="center"/>
        </w:trPr>
        <w:tc>
          <w:tcPr>
            <w:tcW w:w="60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A555E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6356AEF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480DBA5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11595D7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574C9FC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560EC61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4CC3D22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4571082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708FE06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46A3AE9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6221F7E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4CF40D5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696EB72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02C766F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left w:w="108" w:type="dxa"/>
              <w:right w:w="108" w:type="dxa"/>
            </w:tcMar>
            <w:vAlign w:val="center"/>
          </w:tcPr>
          <w:p w14:paraId="3004612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lang w:val="en-US" w:eastAsia="zh-CN" w:bidi="ar"/>
              </w:rPr>
              <w:t>0</w:t>
            </w:r>
          </w:p>
        </w:tc>
      </w:tr>
    </w:tbl>
    <w:p w14:paraId="10707BBF">
      <w:pPr>
        <w:keepNext w:val="0"/>
        <w:keepLines w:val="0"/>
        <w:widowControl/>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五、存在的主要问题及改进情况</w:t>
      </w:r>
    </w:p>
    <w:p w14:paraId="7558E167">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（一）主要问题：一是政务公开工作能力有待加强，对政府信息公开尺度把握不够熟练；二是政府公开工作机制有待完善，特别是信息审查、内容把关和发布等流程需要进一步规范。</w:t>
      </w:r>
    </w:p>
    <w:p w14:paraId="68E84263">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二）改进情况：一是加强业务培训，组织开展政务公开工作人员培训学习，对公开政策、操作流程等内容进行深入学习，提高工作能力。二是提高政治站位，将政务公开工作纳入乡长办公会重要议程，定期调度、跟踪推进，健全内容审查、责任追究制度，将公开工作落到实处。</w:t>
      </w:r>
    </w:p>
    <w:p w14:paraId="4B229B15">
      <w:pPr>
        <w:keepNext w:val="0"/>
        <w:keepLines w:val="0"/>
        <w:widowControl/>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六、其他需要报告的事项</w:t>
      </w:r>
    </w:p>
    <w:p w14:paraId="6985001D">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濛江乡暂无其他应报告的事项。</w:t>
      </w:r>
    </w:p>
    <w:p w14:paraId="5A5A7DF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32D22"/>
    <w:rsid w:val="0D7D1F3D"/>
    <w:rsid w:val="0FC207D7"/>
    <w:rsid w:val="2BDD7D81"/>
    <w:rsid w:val="42321EFD"/>
    <w:rsid w:val="45C94918"/>
    <w:rsid w:val="46D07F9B"/>
    <w:rsid w:val="55984D8E"/>
    <w:rsid w:val="58EF7663"/>
    <w:rsid w:val="6FF1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2402</Words>
  <Characters>2461</Characters>
  <Lines>0</Lines>
  <Paragraphs>0</Paragraphs>
  <TotalTime>33</TotalTime>
  <ScaleCrop>false</ScaleCrop>
  <LinksUpToDate>false</LinksUpToDate>
  <CharactersWithSpaces>2474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2025-12-09T06:52:00Z</dcterms:created>
  <dc:creator>Administrator</dc:creator>
  <cp:lastModifiedBy>WPS_156492039</cp:lastModifiedBy>
  <cp:lastPrinted>2026-01-05T00:53:00Z</cp:lastPrinted>
  <dcterms:modified xsi:type="dcterms:W3CDTF">2026-01-28T01:31:06Z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eyJoZGlkIjoiMjJmNjJjNmRlZTUwMzk3MDFkNDcyMjYwMjEzOTJiMzUiLCJ1c2VySWQiOiIxNTY0OTIwMzkifQ==</vt:lpwstr>
  </property>
  <property fmtid="{D5CDD505-2E9C-101B-9397-08002B2CF9AE}" pid="4" name="ICV">
    <vt:lpwstr>7602E44443B14685A817EF4D77EB9E9E_12</vt:lpwstr>
  </property>
</Properties>
</file>